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833C6">
        <w:tblPrEx>
          <w:tblCellMar>
            <w:top w:w="0" w:type="dxa"/>
            <w:bottom w:w="0" w:type="dxa"/>
          </w:tblCellMar>
        </w:tblPrEx>
        <w:trPr>
          <w:tblCellSpacing w:w="60" w:type="dxa"/>
        </w:trPr>
        <w:tc>
          <w:tcPr>
            <w:tcW w:w="1200" w:type="pct"/>
            <w:shd w:val="clear" w:color="auto" w:fill="E7F0F9"/>
          </w:tcPr>
          <w:p w:rsidR="000833C6" w:rsidRDefault="00407484">
            <w:pPr>
              <w:spacing w:after="0" w:line="240" w:lineRule="auto"/>
            </w:pPr>
            <w:bookmarkStart w:id="0" w:name="_GoBack"/>
            <w:bookmarkEnd w:id="0"/>
            <w:r>
              <w:rPr>
                <w:b/>
              </w:rPr>
              <w:t>RKP broj</w:t>
            </w:r>
          </w:p>
        </w:tc>
        <w:tc>
          <w:tcPr>
            <w:tcW w:w="0" w:type="auto"/>
            <w:shd w:val="clear" w:color="auto" w:fill="E7F0F9"/>
          </w:tcPr>
          <w:p w:rsidR="000833C6" w:rsidRDefault="00407484">
            <w:pPr>
              <w:spacing w:after="0" w:line="240" w:lineRule="auto"/>
            </w:pPr>
            <w:r>
              <w:t>47471</w:t>
            </w:r>
          </w:p>
        </w:tc>
      </w:tr>
      <w:tr w:rsidR="000833C6">
        <w:tblPrEx>
          <w:tblCellMar>
            <w:top w:w="0" w:type="dxa"/>
            <w:bottom w:w="0" w:type="dxa"/>
          </w:tblCellMar>
        </w:tblPrEx>
        <w:trPr>
          <w:tblCellSpacing w:w="60" w:type="dxa"/>
        </w:trPr>
        <w:tc>
          <w:tcPr>
            <w:tcW w:w="1200" w:type="pct"/>
            <w:shd w:val="clear" w:color="auto" w:fill="E7F0F9"/>
          </w:tcPr>
          <w:p w:rsidR="000833C6" w:rsidRDefault="00407484">
            <w:pPr>
              <w:spacing w:after="0" w:line="240" w:lineRule="auto"/>
            </w:pPr>
            <w:r>
              <w:rPr>
                <w:b/>
              </w:rPr>
              <w:t>Naziv obveznika</w:t>
            </w:r>
          </w:p>
        </w:tc>
        <w:tc>
          <w:tcPr>
            <w:tcW w:w="0" w:type="auto"/>
            <w:shd w:val="clear" w:color="auto" w:fill="E7F0F9"/>
          </w:tcPr>
          <w:p w:rsidR="000833C6" w:rsidRDefault="00407484">
            <w:pPr>
              <w:spacing w:after="0" w:line="240" w:lineRule="auto"/>
            </w:pPr>
            <w:r>
              <w:t>PORA REGIONALNA RAZVOJNA AGENCIJA KOPRIVNIČKO - KRIŽEVAČKE ŽUPANIJE</w:t>
            </w:r>
          </w:p>
        </w:tc>
      </w:tr>
      <w:tr w:rsidR="000833C6">
        <w:tblPrEx>
          <w:tblCellMar>
            <w:top w:w="0" w:type="dxa"/>
            <w:bottom w:w="0" w:type="dxa"/>
          </w:tblCellMar>
        </w:tblPrEx>
        <w:trPr>
          <w:tblCellSpacing w:w="60" w:type="dxa"/>
        </w:trPr>
        <w:tc>
          <w:tcPr>
            <w:tcW w:w="1200" w:type="pct"/>
            <w:shd w:val="clear" w:color="auto" w:fill="E7F0F9"/>
          </w:tcPr>
          <w:p w:rsidR="000833C6" w:rsidRDefault="00407484">
            <w:pPr>
              <w:spacing w:after="0" w:line="240" w:lineRule="auto"/>
            </w:pPr>
            <w:r>
              <w:rPr>
                <w:b/>
              </w:rPr>
              <w:t>Razina</w:t>
            </w:r>
          </w:p>
        </w:tc>
        <w:tc>
          <w:tcPr>
            <w:tcW w:w="0" w:type="auto"/>
            <w:shd w:val="clear" w:color="auto" w:fill="E7F0F9"/>
          </w:tcPr>
          <w:p w:rsidR="000833C6" w:rsidRDefault="00407484">
            <w:pPr>
              <w:spacing w:after="0" w:line="240" w:lineRule="auto"/>
            </w:pPr>
            <w:r>
              <w:t>21</w:t>
            </w:r>
          </w:p>
        </w:tc>
      </w:tr>
    </w:tbl>
    <w:p w:rsidR="000833C6" w:rsidRDefault="00407484">
      <w:r>
        <w:br/>
      </w:r>
    </w:p>
    <w:p w:rsidR="000833C6" w:rsidRDefault="00407484">
      <w:pPr>
        <w:spacing w:line="240" w:lineRule="auto"/>
        <w:jc w:val="center"/>
      </w:pPr>
      <w:r>
        <w:rPr>
          <w:b/>
          <w:sz w:val="28"/>
        </w:rPr>
        <w:t>BILJEŠKE UZ FINANCIJSKE IZVJEŠTAJE</w:t>
      </w:r>
    </w:p>
    <w:p w:rsidR="000833C6" w:rsidRDefault="00407484">
      <w:pPr>
        <w:spacing w:line="240" w:lineRule="auto"/>
        <w:jc w:val="center"/>
      </w:pPr>
      <w:r>
        <w:rPr>
          <w:b/>
          <w:sz w:val="28"/>
        </w:rPr>
        <w:t>ZA RAZDOBLJE</w:t>
      </w:r>
    </w:p>
    <w:p w:rsidR="000833C6" w:rsidRDefault="00407484">
      <w:pPr>
        <w:spacing w:line="240" w:lineRule="auto"/>
        <w:jc w:val="center"/>
      </w:pPr>
      <w:r>
        <w:rPr>
          <w:b/>
          <w:sz w:val="28"/>
        </w:rPr>
        <w:t>I - XII 2025.</w:t>
      </w:r>
    </w:p>
    <w:p w:rsidR="000833C6" w:rsidRDefault="000833C6"/>
    <w:p w:rsidR="000833C6" w:rsidRDefault="00407484">
      <w:pPr>
        <w:keepNext/>
        <w:spacing w:line="240" w:lineRule="auto"/>
        <w:jc w:val="center"/>
      </w:pPr>
      <w:r>
        <w:rPr>
          <w:b/>
          <w:sz w:val="28"/>
        </w:rPr>
        <w:t>Izvještaj o prihodima i rashodima, primicima i izdacima</w:t>
      </w:r>
    </w:p>
    <w:p w:rsidR="000833C6" w:rsidRDefault="0040748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6</w:t>
            </w:r>
          </w:p>
        </w:tc>
        <w:tc>
          <w:tcPr>
            <w:tcW w:w="3180" w:type="dxa"/>
            <w:tcMar>
              <w:top w:w="0" w:type="dxa"/>
              <w:bottom w:w="0" w:type="dxa"/>
            </w:tcMar>
            <w:vAlign w:val="center"/>
          </w:tcPr>
          <w:p w:rsidR="000833C6" w:rsidRDefault="00407484">
            <w:pPr>
              <w:keepNext/>
              <w:keepLines/>
              <w:spacing w:after="0" w:line="240" w:lineRule="auto"/>
            </w:pPr>
            <w:r>
              <w:rPr>
                <w:sz w:val="18"/>
              </w:rPr>
              <w:t>PRIHODI POSLOVANJA (šifre 61+62+63+64+65+66+67+68)</w:t>
            </w:r>
          </w:p>
        </w:tc>
        <w:tc>
          <w:tcPr>
            <w:tcW w:w="700" w:type="dxa"/>
            <w:tcMar>
              <w:top w:w="0" w:type="dxa"/>
              <w:bottom w:w="0" w:type="dxa"/>
            </w:tcMar>
            <w:vAlign w:val="center"/>
          </w:tcPr>
          <w:p w:rsidR="000833C6" w:rsidRDefault="00407484">
            <w:pPr>
              <w:keepNext/>
              <w:keepLines/>
              <w:spacing w:after="0" w:line="240" w:lineRule="auto"/>
            </w:pPr>
            <w:r>
              <w:rPr>
                <w:sz w:val="18"/>
              </w:rPr>
              <w:t>6</w:t>
            </w:r>
          </w:p>
        </w:tc>
        <w:tc>
          <w:tcPr>
            <w:tcW w:w="1860" w:type="dxa"/>
            <w:tcMar>
              <w:top w:w="0" w:type="dxa"/>
              <w:bottom w:w="0" w:type="dxa"/>
            </w:tcMar>
            <w:vAlign w:val="center"/>
          </w:tcPr>
          <w:p w:rsidR="000833C6" w:rsidRDefault="00407484">
            <w:pPr>
              <w:keepNext/>
              <w:keepLines/>
              <w:spacing w:after="0" w:line="240" w:lineRule="auto"/>
              <w:jc w:val="right"/>
            </w:pPr>
            <w:r>
              <w:rPr>
                <w:sz w:val="18"/>
              </w:rPr>
              <w:t>825.485,50</w:t>
            </w:r>
          </w:p>
        </w:tc>
        <w:tc>
          <w:tcPr>
            <w:tcW w:w="1860" w:type="dxa"/>
            <w:tcMar>
              <w:top w:w="0" w:type="dxa"/>
              <w:bottom w:w="0" w:type="dxa"/>
            </w:tcMar>
            <w:vAlign w:val="center"/>
          </w:tcPr>
          <w:p w:rsidR="000833C6" w:rsidRDefault="00407484">
            <w:pPr>
              <w:keepNext/>
              <w:keepLines/>
              <w:spacing w:after="0" w:line="240" w:lineRule="auto"/>
              <w:jc w:val="right"/>
            </w:pPr>
            <w:r>
              <w:rPr>
                <w:sz w:val="18"/>
              </w:rPr>
              <w:t>810.525,83</w:t>
            </w:r>
          </w:p>
        </w:tc>
        <w:tc>
          <w:tcPr>
            <w:tcW w:w="700" w:type="dxa"/>
            <w:tcMar>
              <w:top w:w="0" w:type="dxa"/>
              <w:bottom w:w="0" w:type="dxa"/>
            </w:tcMar>
            <w:vAlign w:val="center"/>
          </w:tcPr>
          <w:p w:rsidR="000833C6" w:rsidRDefault="00407484">
            <w:pPr>
              <w:keepNext/>
              <w:keepLines/>
              <w:spacing w:after="0" w:line="240" w:lineRule="auto"/>
              <w:jc w:val="right"/>
            </w:pPr>
            <w:r>
              <w:rPr>
                <w:sz w:val="18"/>
              </w:rPr>
              <w:t>98,2</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3</w:t>
            </w:r>
          </w:p>
        </w:tc>
        <w:tc>
          <w:tcPr>
            <w:tcW w:w="3180" w:type="dxa"/>
            <w:tcMar>
              <w:top w:w="0" w:type="dxa"/>
              <w:bottom w:w="0" w:type="dxa"/>
            </w:tcMar>
            <w:vAlign w:val="center"/>
          </w:tcPr>
          <w:p w:rsidR="000833C6" w:rsidRDefault="00407484">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rsidR="000833C6" w:rsidRDefault="00407484">
            <w:pPr>
              <w:keepNext/>
              <w:keepLines/>
              <w:spacing w:after="0" w:line="240" w:lineRule="auto"/>
            </w:pPr>
            <w:r>
              <w:rPr>
                <w:sz w:val="18"/>
              </w:rPr>
              <w:t>3</w:t>
            </w:r>
          </w:p>
        </w:tc>
        <w:tc>
          <w:tcPr>
            <w:tcW w:w="1860" w:type="dxa"/>
            <w:tcMar>
              <w:top w:w="0" w:type="dxa"/>
              <w:bottom w:w="0" w:type="dxa"/>
            </w:tcMar>
            <w:vAlign w:val="center"/>
          </w:tcPr>
          <w:p w:rsidR="000833C6" w:rsidRDefault="00407484">
            <w:pPr>
              <w:keepNext/>
              <w:keepLines/>
              <w:spacing w:after="0" w:line="240" w:lineRule="auto"/>
              <w:jc w:val="right"/>
            </w:pPr>
            <w:r>
              <w:rPr>
                <w:sz w:val="18"/>
              </w:rPr>
              <w:t>737.459,67</w:t>
            </w:r>
          </w:p>
        </w:tc>
        <w:tc>
          <w:tcPr>
            <w:tcW w:w="1860" w:type="dxa"/>
            <w:tcMar>
              <w:top w:w="0" w:type="dxa"/>
              <w:bottom w:w="0" w:type="dxa"/>
            </w:tcMar>
            <w:vAlign w:val="center"/>
          </w:tcPr>
          <w:p w:rsidR="000833C6" w:rsidRDefault="00407484">
            <w:pPr>
              <w:keepNext/>
              <w:keepLines/>
              <w:spacing w:after="0" w:line="240" w:lineRule="auto"/>
              <w:jc w:val="right"/>
            </w:pPr>
            <w:r>
              <w:rPr>
                <w:sz w:val="18"/>
              </w:rPr>
              <w:t>857.482,99</w:t>
            </w:r>
          </w:p>
        </w:tc>
        <w:tc>
          <w:tcPr>
            <w:tcW w:w="700" w:type="dxa"/>
            <w:tcMar>
              <w:top w:w="0" w:type="dxa"/>
              <w:bottom w:w="0" w:type="dxa"/>
            </w:tcMar>
            <w:vAlign w:val="center"/>
          </w:tcPr>
          <w:p w:rsidR="000833C6" w:rsidRDefault="00407484">
            <w:pPr>
              <w:keepNext/>
              <w:keepLines/>
              <w:spacing w:after="0" w:line="240" w:lineRule="auto"/>
              <w:jc w:val="right"/>
            </w:pPr>
            <w:r>
              <w:rPr>
                <w:sz w:val="18"/>
              </w:rPr>
              <w:t>116,3</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0833C6">
            <w:pPr>
              <w:keepNext/>
              <w:keepLines/>
              <w:spacing w:after="0" w:line="240" w:lineRule="auto"/>
            </w:pPr>
          </w:p>
        </w:tc>
        <w:tc>
          <w:tcPr>
            <w:tcW w:w="3180" w:type="dxa"/>
            <w:tcMar>
              <w:top w:w="0" w:type="dxa"/>
              <w:bottom w:w="0" w:type="dxa"/>
            </w:tcMar>
            <w:vAlign w:val="center"/>
          </w:tcPr>
          <w:p w:rsidR="000833C6" w:rsidRDefault="00407484">
            <w:pPr>
              <w:keepNext/>
              <w:keepLines/>
              <w:spacing w:after="0" w:line="240" w:lineRule="auto"/>
            </w:pPr>
            <w:r>
              <w:rPr>
                <w:b/>
                <w:sz w:val="18"/>
              </w:rPr>
              <w:t>MANJAK PRIHODA POSLOVANJA (šifre Z005-6)</w:t>
            </w:r>
          </w:p>
        </w:tc>
        <w:tc>
          <w:tcPr>
            <w:tcW w:w="700" w:type="dxa"/>
            <w:tcMar>
              <w:top w:w="0" w:type="dxa"/>
              <w:bottom w:w="0" w:type="dxa"/>
            </w:tcMar>
            <w:vAlign w:val="center"/>
          </w:tcPr>
          <w:p w:rsidR="000833C6" w:rsidRDefault="00407484">
            <w:pPr>
              <w:keepNext/>
              <w:keepLines/>
              <w:spacing w:after="0" w:line="240" w:lineRule="auto"/>
            </w:pPr>
            <w:r>
              <w:rPr>
                <w:b/>
                <w:sz w:val="18"/>
              </w:rPr>
              <w:t>Y001</w:t>
            </w:r>
          </w:p>
        </w:tc>
        <w:tc>
          <w:tcPr>
            <w:tcW w:w="1860" w:type="dxa"/>
            <w:tcMar>
              <w:top w:w="0" w:type="dxa"/>
              <w:bottom w:w="0" w:type="dxa"/>
            </w:tcMar>
            <w:vAlign w:val="center"/>
          </w:tcPr>
          <w:p w:rsidR="000833C6" w:rsidRDefault="00407484">
            <w:pPr>
              <w:keepNext/>
              <w:keepLines/>
              <w:spacing w:after="0" w:line="240" w:lineRule="auto"/>
              <w:jc w:val="right"/>
            </w:pPr>
            <w:r>
              <w:rPr>
                <w:b/>
                <w:sz w:val="18"/>
              </w:rPr>
              <w:t>0,00</w:t>
            </w:r>
          </w:p>
        </w:tc>
        <w:tc>
          <w:tcPr>
            <w:tcW w:w="1860" w:type="dxa"/>
            <w:tcMar>
              <w:top w:w="0" w:type="dxa"/>
              <w:bottom w:w="0" w:type="dxa"/>
            </w:tcMar>
            <w:vAlign w:val="center"/>
          </w:tcPr>
          <w:p w:rsidR="000833C6" w:rsidRDefault="00407484">
            <w:pPr>
              <w:keepNext/>
              <w:keepLines/>
              <w:spacing w:after="0" w:line="240" w:lineRule="auto"/>
              <w:jc w:val="right"/>
            </w:pPr>
            <w:r>
              <w:rPr>
                <w:b/>
                <w:sz w:val="18"/>
              </w:rPr>
              <w:t>46.957,16</w:t>
            </w:r>
          </w:p>
        </w:tc>
        <w:tc>
          <w:tcPr>
            <w:tcW w:w="700" w:type="dxa"/>
            <w:tcMar>
              <w:top w:w="0" w:type="dxa"/>
              <w:bottom w:w="0" w:type="dxa"/>
            </w:tcMar>
            <w:vAlign w:val="center"/>
          </w:tcPr>
          <w:p w:rsidR="000833C6" w:rsidRDefault="00407484">
            <w:pPr>
              <w:keepNext/>
              <w:keepLines/>
              <w:spacing w:after="0" w:line="240" w:lineRule="auto"/>
              <w:jc w:val="right"/>
            </w:pPr>
            <w:r>
              <w:rPr>
                <w:b/>
                <w:sz w:val="18"/>
              </w:rPr>
              <w:t>-</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7</w:t>
            </w:r>
          </w:p>
        </w:tc>
        <w:tc>
          <w:tcPr>
            <w:tcW w:w="3180" w:type="dxa"/>
            <w:tcMar>
              <w:top w:w="0" w:type="dxa"/>
              <w:bottom w:w="0" w:type="dxa"/>
            </w:tcMar>
            <w:vAlign w:val="center"/>
          </w:tcPr>
          <w:p w:rsidR="000833C6" w:rsidRDefault="0040748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833C6" w:rsidRDefault="00407484">
            <w:pPr>
              <w:keepNext/>
              <w:keepLines/>
              <w:spacing w:after="0" w:line="240" w:lineRule="auto"/>
            </w:pPr>
            <w:r>
              <w:rPr>
                <w:sz w:val="18"/>
              </w:rPr>
              <w:t>7</w:t>
            </w:r>
          </w:p>
        </w:tc>
        <w:tc>
          <w:tcPr>
            <w:tcW w:w="1860" w:type="dxa"/>
            <w:tcMar>
              <w:top w:w="0" w:type="dxa"/>
              <w:bottom w:w="0" w:type="dxa"/>
            </w:tcMar>
            <w:vAlign w:val="center"/>
          </w:tcPr>
          <w:p w:rsidR="000833C6" w:rsidRDefault="00407484">
            <w:pPr>
              <w:keepNext/>
              <w:keepLines/>
              <w:spacing w:after="0" w:line="240" w:lineRule="auto"/>
              <w:jc w:val="right"/>
            </w:pPr>
            <w:r>
              <w:rPr>
                <w:sz w:val="18"/>
              </w:rPr>
              <w:t>0,00</w:t>
            </w:r>
          </w:p>
        </w:tc>
        <w:tc>
          <w:tcPr>
            <w:tcW w:w="1860" w:type="dxa"/>
            <w:tcMar>
              <w:top w:w="0" w:type="dxa"/>
              <w:bottom w:w="0" w:type="dxa"/>
            </w:tcMar>
            <w:vAlign w:val="center"/>
          </w:tcPr>
          <w:p w:rsidR="000833C6" w:rsidRDefault="00407484">
            <w:pPr>
              <w:keepNext/>
              <w:keepLines/>
              <w:spacing w:after="0" w:line="240" w:lineRule="auto"/>
              <w:jc w:val="right"/>
            </w:pPr>
            <w:r>
              <w:rPr>
                <w:sz w:val="18"/>
              </w:rPr>
              <w:t>0,00</w:t>
            </w:r>
          </w:p>
        </w:tc>
        <w:tc>
          <w:tcPr>
            <w:tcW w:w="700" w:type="dxa"/>
            <w:tcMar>
              <w:top w:w="0" w:type="dxa"/>
              <w:bottom w:w="0" w:type="dxa"/>
            </w:tcMar>
            <w:vAlign w:val="center"/>
          </w:tcPr>
          <w:p w:rsidR="000833C6" w:rsidRDefault="00407484">
            <w:pPr>
              <w:keepNext/>
              <w:keepLines/>
              <w:spacing w:after="0" w:line="240" w:lineRule="auto"/>
              <w:jc w:val="right"/>
            </w:pPr>
            <w:r>
              <w:rPr>
                <w:sz w:val="18"/>
              </w:rPr>
              <w:t>-</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4</w:t>
            </w:r>
          </w:p>
        </w:tc>
        <w:tc>
          <w:tcPr>
            <w:tcW w:w="3180" w:type="dxa"/>
            <w:tcMar>
              <w:top w:w="0" w:type="dxa"/>
              <w:bottom w:w="0" w:type="dxa"/>
            </w:tcMar>
            <w:vAlign w:val="center"/>
          </w:tcPr>
          <w:p w:rsidR="000833C6" w:rsidRDefault="00407484">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rsidR="000833C6" w:rsidRDefault="00407484">
            <w:pPr>
              <w:keepNext/>
              <w:keepLines/>
              <w:spacing w:after="0" w:line="240" w:lineRule="auto"/>
            </w:pPr>
            <w:r>
              <w:rPr>
                <w:sz w:val="18"/>
              </w:rPr>
              <w:t>4</w:t>
            </w:r>
          </w:p>
        </w:tc>
        <w:tc>
          <w:tcPr>
            <w:tcW w:w="1860" w:type="dxa"/>
            <w:tcMar>
              <w:top w:w="0" w:type="dxa"/>
              <w:bottom w:w="0" w:type="dxa"/>
            </w:tcMar>
            <w:vAlign w:val="center"/>
          </w:tcPr>
          <w:p w:rsidR="000833C6" w:rsidRDefault="00407484">
            <w:pPr>
              <w:keepNext/>
              <w:keepLines/>
              <w:spacing w:after="0" w:line="240" w:lineRule="auto"/>
              <w:jc w:val="right"/>
            </w:pPr>
            <w:r>
              <w:rPr>
                <w:sz w:val="18"/>
              </w:rPr>
              <w:t>497,50</w:t>
            </w:r>
          </w:p>
        </w:tc>
        <w:tc>
          <w:tcPr>
            <w:tcW w:w="1860" w:type="dxa"/>
            <w:tcMar>
              <w:top w:w="0" w:type="dxa"/>
              <w:bottom w:w="0" w:type="dxa"/>
            </w:tcMar>
            <w:vAlign w:val="center"/>
          </w:tcPr>
          <w:p w:rsidR="000833C6" w:rsidRDefault="00407484">
            <w:pPr>
              <w:keepNext/>
              <w:keepLines/>
              <w:spacing w:after="0" w:line="240" w:lineRule="auto"/>
              <w:jc w:val="right"/>
            </w:pPr>
            <w:r>
              <w:rPr>
                <w:sz w:val="18"/>
              </w:rPr>
              <w:t>249,99</w:t>
            </w:r>
          </w:p>
        </w:tc>
        <w:tc>
          <w:tcPr>
            <w:tcW w:w="700" w:type="dxa"/>
            <w:tcMar>
              <w:top w:w="0" w:type="dxa"/>
              <w:bottom w:w="0" w:type="dxa"/>
            </w:tcMar>
            <w:vAlign w:val="center"/>
          </w:tcPr>
          <w:p w:rsidR="000833C6" w:rsidRDefault="00407484">
            <w:pPr>
              <w:keepNext/>
              <w:keepLines/>
              <w:spacing w:after="0" w:line="240" w:lineRule="auto"/>
              <w:jc w:val="right"/>
            </w:pPr>
            <w:r>
              <w:rPr>
                <w:sz w:val="18"/>
              </w:rPr>
              <w:t>50,2</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0833C6">
            <w:pPr>
              <w:keepNext/>
              <w:keepLines/>
              <w:spacing w:after="0" w:line="240" w:lineRule="auto"/>
            </w:pPr>
          </w:p>
        </w:tc>
        <w:tc>
          <w:tcPr>
            <w:tcW w:w="3180" w:type="dxa"/>
            <w:tcMar>
              <w:top w:w="0" w:type="dxa"/>
              <w:bottom w:w="0" w:type="dxa"/>
            </w:tcMar>
            <w:vAlign w:val="center"/>
          </w:tcPr>
          <w:p w:rsidR="000833C6" w:rsidRDefault="00407484">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0833C6" w:rsidRDefault="00407484">
            <w:pPr>
              <w:keepNext/>
              <w:keepLines/>
              <w:spacing w:after="0" w:line="240" w:lineRule="auto"/>
            </w:pPr>
            <w:r>
              <w:rPr>
                <w:b/>
                <w:sz w:val="18"/>
              </w:rPr>
              <w:t>Y002</w:t>
            </w:r>
          </w:p>
        </w:tc>
        <w:tc>
          <w:tcPr>
            <w:tcW w:w="1860" w:type="dxa"/>
            <w:tcMar>
              <w:top w:w="0" w:type="dxa"/>
              <w:bottom w:w="0" w:type="dxa"/>
            </w:tcMar>
            <w:vAlign w:val="center"/>
          </w:tcPr>
          <w:p w:rsidR="000833C6" w:rsidRDefault="00407484">
            <w:pPr>
              <w:keepNext/>
              <w:keepLines/>
              <w:spacing w:after="0" w:line="240" w:lineRule="auto"/>
              <w:jc w:val="right"/>
            </w:pPr>
            <w:r>
              <w:rPr>
                <w:b/>
                <w:sz w:val="18"/>
              </w:rPr>
              <w:t>497,50</w:t>
            </w:r>
          </w:p>
        </w:tc>
        <w:tc>
          <w:tcPr>
            <w:tcW w:w="1860" w:type="dxa"/>
            <w:tcMar>
              <w:top w:w="0" w:type="dxa"/>
              <w:bottom w:w="0" w:type="dxa"/>
            </w:tcMar>
            <w:vAlign w:val="center"/>
          </w:tcPr>
          <w:p w:rsidR="000833C6" w:rsidRDefault="00407484">
            <w:pPr>
              <w:keepNext/>
              <w:keepLines/>
              <w:spacing w:after="0" w:line="240" w:lineRule="auto"/>
              <w:jc w:val="right"/>
            </w:pPr>
            <w:r>
              <w:rPr>
                <w:b/>
                <w:sz w:val="18"/>
              </w:rPr>
              <w:t>249,99</w:t>
            </w:r>
          </w:p>
        </w:tc>
        <w:tc>
          <w:tcPr>
            <w:tcW w:w="700" w:type="dxa"/>
            <w:tcMar>
              <w:top w:w="0" w:type="dxa"/>
              <w:bottom w:w="0" w:type="dxa"/>
            </w:tcMar>
            <w:vAlign w:val="center"/>
          </w:tcPr>
          <w:p w:rsidR="000833C6" w:rsidRDefault="00407484">
            <w:pPr>
              <w:keepNext/>
              <w:keepLines/>
              <w:spacing w:after="0" w:line="240" w:lineRule="auto"/>
              <w:jc w:val="right"/>
            </w:pPr>
            <w:r>
              <w:rPr>
                <w:b/>
                <w:sz w:val="18"/>
              </w:rPr>
              <w:t>50,2</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8</w:t>
            </w:r>
          </w:p>
        </w:tc>
        <w:tc>
          <w:tcPr>
            <w:tcW w:w="3180" w:type="dxa"/>
            <w:tcMar>
              <w:top w:w="0" w:type="dxa"/>
              <w:bottom w:w="0" w:type="dxa"/>
            </w:tcMar>
            <w:vAlign w:val="center"/>
          </w:tcPr>
          <w:p w:rsidR="000833C6" w:rsidRDefault="0040748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0833C6" w:rsidRDefault="00407484">
            <w:pPr>
              <w:keepNext/>
              <w:keepLines/>
              <w:spacing w:after="0" w:line="240" w:lineRule="auto"/>
            </w:pPr>
            <w:r>
              <w:rPr>
                <w:sz w:val="18"/>
              </w:rPr>
              <w:t>8</w:t>
            </w:r>
          </w:p>
        </w:tc>
        <w:tc>
          <w:tcPr>
            <w:tcW w:w="1860" w:type="dxa"/>
            <w:tcMar>
              <w:top w:w="0" w:type="dxa"/>
              <w:bottom w:w="0" w:type="dxa"/>
            </w:tcMar>
            <w:vAlign w:val="center"/>
          </w:tcPr>
          <w:p w:rsidR="000833C6" w:rsidRDefault="00407484">
            <w:pPr>
              <w:keepNext/>
              <w:keepLines/>
              <w:spacing w:after="0" w:line="240" w:lineRule="auto"/>
              <w:jc w:val="right"/>
            </w:pPr>
            <w:r>
              <w:rPr>
                <w:sz w:val="18"/>
              </w:rPr>
              <w:t>0,00</w:t>
            </w:r>
          </w:p>
        </w:tc>
        <w:tc>
          <w:tcPr>
            <w:tcW w:w="1860" w:type="dxa"/>
            <w:tcMar>
              <w:top w:w="0" w:type="dxa"/>
              <w:bottom w:w="0" w:type="dxa"/>
            </w:tcMar>
            <w:vAlign w:val="center"/>
          </w:tcPr>
          <w:p w:rsidR="000833C6" w:rsidRDefault="00407484">
            <w:pPr>
              <w:keepNext/>
              <w:keepLines/>
              <w:spacing w:after="0" w:line="240" w:lineRule="auto"/>
              <w:jc w:val="right"/>
            </w:pPr>
            <w:r>
              <w:rPr>
                <w:sz w:val="18"/>
              </w:rPr>
              <w:t>0,00</w:t>
            </w:r>
          </w:p>
        </w:tc>
        <w:tc>
          <w:tcPr>
            <w:tcW w:w="700" w:type="dxa"/>
            <w:tcMar>
              <w:top w:w="0" w:type="dxa"/>
              <w:bottom w:w="0" w:type="dxa"/>
            </w:tcMar>
            <w:vAlign w:val="center"/>
          </w:tcPr>
          <w:p w:rsidR="000833C6" w:rsidRDefault="00407484">
            <w:pPr>
              <w:keepNext/>
              <w:keepLines/>
              <w:spacing w:after="0" w:line="240" w:lineRule="auto"/>
              <w:jc w:val="right"/>
            </w:pPr>
            <w:r>
              <w:rPr>
                <w:sz w:val="18"/>
              </w:rPr>
              <w:t>-</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5</w:t>
            </w:r>
          </w:p>
        </w:tc>
        <w:tc>
          <w:tcPr>
            <w:tcW w:w="3180" w:type="dxa"/>
            <w:tcMar>
              <w:top w:w="0" w:type="dxa"/>
              <w:bottom w:w="0" w:type="dxa"/>
            </w:tcMar>
            <w:vAlign w:val="center"/>
          </w:tcPr>
          <w:p w:rsidR="000833C6" w:rsidRDefault="00407484">
            <w:pPr>
              <w:keepNext/>
              <w:keepLines/>
              <w:spacing w:after="0" w:line="240" w:lineRule="auto"/>
            </w:pPr>
            <w:r>
              <w:rPr>
                <w:sz w:val="18"/>
              </w:rPr>
              <w:t xml:space="preserve">Izdaci za financijsku imovinu i otplate zajmova </w:t>
            </w:r>
            <w:r>
              <w:rPr>
                <w:sz w:val="18"/>
              </w:rPr>
              <w:t>(šifre 51+52+53+54+55)</w:t>
            </w:r>
          </w:p>
        </w:tc>
        <w:tc>
          <w:tcPr>
            <w:tcW w:w="700" w:type="dxa"/>
            <w:tcMar>
              <w:top w:w="0" w:type="dxa"/>
              <w:bottom w:w="0" w:type="dxa"/>
            </w:tcMar>
            <w:vAlign w:val="center"/>
          </w:tcPr>
          <w:p w:rsidR="000833C6" w:rsidRDefault="00407484">
            <w:pPr>
              <w:keepNext/>
              <w:keepLines/>
              <w:spacing w:after="0" w:line="240" w:lineRule="auto"/>
            </w:pPr>
            <w:r>
              <w:rPr>
                <w:sz w:val="18"/>
              </w:rPr>
              <w:t>5</w:t>
            </w:r>
          </w:p>
        </w:tc>
        <w:tc>
          <w:tcPr>
            <w:tcW w:w="1860" w:type="dxa"/>
            <w:tcMar>
              <w:top w:w="0" w:type="dxa"/>
              <w:bottom w:w="0" w:type="dxa"/>
            </w:tcMar>
            <w:vAlign w:val="center"/>
          </w:tcPr>
          <w:p w:rsidR="000833C6" w:rsidRDefault="00407484">
            <w:pPr>
              <w:keepNext/>
              <w:keepLines/>
              <w:spacing w:after="0" w:line="240" w:lineRule="auto"/>
              <w:jc w:val="right"/>
            </w:pPr>
            <w:r>
              <w:rPr>
                <w:sz w:val="18"/>
              </w:rPr>
              <w:t>0,00</w:t>
            </w:r>
          </w:p>
        </w:tc>
        <w:tc>
          <w:tcPr>
            <w:tcW w:w="1860" w:type="dxa"/>
            <w:tcMar>
              <w:top w:w="0" w:type="dxa"/>
              <w:bottom w:w="0" w:type="dxa"/>
            </w:tcMar>
            <w:vAlign w:val="center"/>
          </w:tcPr>
          <w:p w:rsidR="000833C6" w:rsidRDefault="00407484">
            <w:pPr>
              <w:keepNext/>
              <w:keepLines/>
              <w:spacing w:after="0" w:line="240" w:lineRule="auto"/>
              <w:jc w:val="right"/>
            </w:pPr>
            <w:r>
              <w:rPr>
                <w:sz w:val="18"/>
              </w:rPr>
              <w:t>0,00</w:t>
            </w:r>
          </w:p>
        </w:tc>
        <w:tc>
          <w:tcPr>
            <w:tcW w:w="700" w:type="dxa"/>
            <w:tcMar>
              <w:top w:w="0" w:type="dxa"/>
              <w:bottom w:w="0" w:type="dxa"/>
            </w:tcMar>
            <w:vAlign w:val="center"/>
          </w:tcPr>
          <w:p w:rsidR="000833C6" w:rsidRDefault="00407484">
            <w:pPr>
              <w:keepNext/>
              <w:keepLines/>
              <w:spacing w:after="0" w:line="240" w:lineRule="auto"/>
              <w:jc w:val="right"/>
            </w:pPr>
            <w:r>
              <w:rPr>
                <w:sz w:val="18"/>
              </w:rPr>
              <w:t>-</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0833C6">
            <w:pPr>
              <w:keepNext/>
              <w:keepLines/>
              <w:spacing w:after="0" w:line="240" w:lineRule="auto"/>
            </w:pPr>
          </w:p>
        </w:tc>
        <w:tc>
          <w:tcPr>
            <w:tcW w:w="3180" w:type="dxa"/>
            <w:tcMar>
              <w:top w:w="0" w:type="dxa"/>
              <w:bottom w:w="0" w:type="dxa"/>
            </w:tcMar>
            <w:vAlign w:val="center"/>
          </w:tcPr>
          <w:p w:rsidR="000833C6" w:rsidRDefault="0040748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0833C6" w:rsidRDefault="00407484">
            <w:pPr>
              <w:keepNext/>
              <w:keepLines/>
              <w:spacing w:after="0" w:line="240" w:lineRule="auto"/>
            </w:pPr>
            <w:r>
              <w:rPr>
                <w:b/>
                <w:sz w:val="18"/>
              </w:rPr>
              <w:t>X003, Y003</w:t>
            </w:r>
          </w:p>
        </w:tc>
        <w:tc>
          <w:tcPr>
            <w:tcW w:w="1860" w:type="dxa"/>
            <w:tcMar>
              <w:top w:w="0" w:type="dxa"/>
              <w:bottom w:w="0" w:type="dxa"/>
            </w:tcMar>
            <w:vAlign w:val="center"/>
          </w:tcPr>
          <w:p w:rsidR="000833C6" w:rsidRDefault="00407484">
            <w:pPr>
              <w:keepNext/>
              <w:keepLines/>
              <w:spacing w:after="0" w:line="240" w:lineRule="auto"/>
              <w:jc w:val="right"/>
            </w:pPr>
            <w:r>
              <w:rPr>
                <w:b/>
                <w:sz w:val="18"/>
              </w:rPr>
              <w:t>0,00</w:t>
            </w:r>
          </w:p>
        </w:tc>
        <w:tc>
          <w:tcPr>
            <w:tcW w:w="1860" w:type="dxa"/>
            <w:tcMar>
              <w:top w:w="0" w:type="dxa"/>
              <w:bottom w:w="0" w:type="dxa"/>
            </w:tcMar>
            <w:vAlign w:val="center"/>
          </w:tcPr>
          <w:p w:rsidR="000833C6" w:rsidRDefault="00407484">
            <w:pPr>
              <w:keepNext/>
              <w:keepLines/>
              <w:spacing w:after="0" w:line="240" w:lineRule="auto"/>
              <w:jc w:val="right"/>
            </w:pPr>
            <w:r>
              <w:rPr>
                <w:b/>
                <w:sz w:val="18"/>
              </w:rPr>
              <w:t>0,00</w:t>
            </w:r>
          </w:p>
        </w:tc>
        <w:tc>
          <w:tcPr>
            <w:tcW w:w="700" w:type="dxa"/>
            <w:tcMar>
              <w:top w:w="0" w:type="dxa"/>
              <w:bottom w:w="0" w:type="dxa"/>
            </w:tcMar>
            <w:vAlign w:val="center"/>
          </w:tcPr>
          <w:p w:rsidR="000833C6" w:rsidRDefault="00407484">
            <w:pPr>
              <w:keepNext/>
              <w:keepLines/>
              <w:spacing w:after="0" w:line="240" w:lineRule="auto"/>
              <w:jc w:val="right"/>
            </w:pPr>
            <w:r>
              <w:rPr>
                <w:b/>
                <w:sz w:val="18"/>
              </w:rPr>
              <w:t>-</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0833C6">
            <w:pPr>
              <w:keepNext/>
              <w:keepLines/>
              <w:spacing w:after="0" w:line="240" w:lineRule="auto"/>
            </w:pPr>
          </w:p>
        </w:tc>
        <w:tc>
          <w:tcPr>
            <w:tcW w:w="3180" w:type="dxa"/>
            <w:tcMar>
              <w:top w:w="0" w:type="dxa"/>
              <w:bottom w:w="0" w:type="dxa"/>
            </w:tcMar>
            <w:vAlign w:val="center"/>
          </w:tcPr>
          <w:p w:rsidR="000833C6" w:rsidRDefault="00407484">
            <w:pPr>
              <w:keepNext/>
              <w:keepLines/>
              <w:spacing w:after="0" w:line="240" w:lineRule="auto"/>
            </w:pPr>
            <w:r>
              <w:rPr>
                <w:b/>
                <w:sz w:val="18"/>
              </w:rPr>
              <w:t>MANJAK PRIHODA I PRIMITAKA (šifre Y345-X678)</w:t>
            </w:r>
          </w:p>
        </w:tc>
        <w:tc>
          <w:tcPr>
            <w:tcW w:w="700" w:type="dxa"/>
            <w:tcMar>
              <w:top w:w="0" w:type="dxa"/>
              <w:bottom w:w="0" w:type="dxa"/>
            </w:tcMar>
            <w:vAlign w:val="center"/>
          </w:tcPr>
          <w:p w:rsidR="000833C6" w:rsidRDefault="00407484">
            <w:pPr>
              <w:keepNext/>
              <w:keepLines/>
              <w:spacing w:after="0" w:line="240" w:lineRule="auto"/>
            </w:pPr>
            <w:r>
              <w:rPr>
                <w:b/>
                <w:sz w:val="18"/>
              </w:rPr>
              <w:t>Y005</w:t>
            </w:r>
          </w:p>
        </w:tc>
        <w:tc>
          <w:tcPr>
            <w:tcW w:w="1860" w:type="dxa"/>
            <w:tcMar>
              <w:top w:w="0" w:type="dxa"/>
              <w:bottom w:w="0" w:type="dxa"/>
            </w:tcMar>
            <w:vAlign w:val="center"/>
          </w:tcPr>
          <w:p w:rsidR="000833C6" w:rsidRDefault="00407484">
            <w:pPr>
              <w:keepNext/>
              <w:keepLines/>
              <w:spacing w:after="0" w:line="240" w:lineRule="auto"/>
              <w:jc w:val="right"/>
            </w:pPr>
            <w:r>
              <w:rPr>
                <w:b/>
                <w:sz w:val="18"/>
              </w:rPr>
              <w:t>0,00</w:t>
            </w:r>
          </w:p>
        </w:tc>
        <w:tc>
          <w:tcPr>
            <w:tcW w:w="1860" w:type="dxa"/>
            <w:tcMar>
              <w:top w:w="0" w:type="dxa"/>
              <w:bottom w:w="0" w:type="dxa"/>
            </w:tcMar>
            <w:vAlign w:val="center"/>
          </w:tcPr>
          <w:p w:rsidR="000833C6" w:rsidRDefault="00407484">
            <w:pPr>
              <w:keepNext/>
              <w:keepLines/>
              <w:spacing w:after="0" w:line="240" w:lineRule="auto"/>
              <w:jc w:val="right"/>
            </w:pPr>
            <w:r>
              <w:rPr>
                <w:b/>
                <w:sz w:val="18"/>
              </w:rPr>
              <w:t>47.207,15</w:t>
            </w:r>
          </w:p>
        </w:tc>
        <w:tc>
          <w:tcPr>
            <w:tcW w:w="700" w:type="dxa"/>
            <w:tcMar>
              <w:top w:w="0" w:type="dxa"/>
              <w:bottom w:w="0" w:type="dxa"/>
            </w:tcMar>
            <w:vAlign w:val="center"/>
          </w:tcPr>
          <w:p w:rsidR="000833C6" w:rsidRDefault="00407484">
            <w:pPr>
              <w:keepNext/>
              <w:keepLines/>
              <w:spacing w:after="0" w:line="240" w:lineRule="auto"/>
              <w:jc w:val="right"/>
            </w:pPr>
            <w:r>
              <w:rPr>
                <w:b/>
                <w:sz w:val="18"/>
              </w:rPr>
              <w:t>-</w:t>
            </w:r>
          </w:p>
        </w:tc>
      </w:tr>
    </w:tbl>
    <w:p w:rsidR="000833C6" w:rsidRDefault="000833C6">
      <w:pPr>
        <w:spacing w:after="0"/>
      </w:pPr>
    </w:p>
    <w:p w:rsidR="000833C6" w:rsidRDefault="00407484">
      <w:r>
        <w:t xml:space="preserve">Prihodi i rashodi za razdoblje 01.01. - 31.12.2025. izvršeni su sukladno Programu rada PORE Regionalne razvojne agencije Koprivničko-križevačke županije za 2025. s projekcijama za 2026. i 2027. godinu i Financijskom planu PORE Regionalne razvojne agencije </w:t>
      </w:r>
      <w:r>
        <w:t xml:space="preserve">Koprivničko-križevačke županije za 2025. godinu s projekcijama za 2026. i 2027 godinu. Manjak prihoda i primitaka rezultat je dinamike projektnih aktivnosti, </w:t>
      </w:r>
      <w:proofErr w:type="spellStart"/>
      <w:r>
        <w:t>predfinanciranja</w:t>
      </w:r>
      <w:proofErr w:type="spellEnd"/>
      <w:r>
        <w:t xml:space="preserve"> provedbe istih te u konačnosti dinamike isplate EU sredstava po podnesenim i odob</w:t>
      </w:r>
      <w:r>
        <w:t xml:space="preserve">renim Zahtjevima za </w:t>
      </w:r>
      <w:r>
        <w:lastRenderedPageBreak/>
        <w:t>nadoknadu sredstava. Na rezultat poslovanja ima utjecaj i primjena čl. 233. Pravilnika o proračunskom računovodstvu koji se primjenjuje od 2025. godine.    </w:t>
      </w:r>
    </w:p>
    <w:p w:rsidR="000833C6" w:rsidRDefault="00407484">
      <w:r>
        <w:br/>
      </w:r>
    </w:p>
    <w:p w:rsidR="000833C6" w:rsidRDefault="00407484">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6</w:t>
            </w:r>
          </w:p>
        </w:tc>
        <w:tc>
          <w:tcPr>
            <w:tcW w:w="3180" w:type="dxa"/>
            <w:tcMar>
              <w:top w:w="0" w:type="dxa"/>
              <w:bottom w:w="0" w:type="dxa"/>
            </w:tcMar>
            <w:vAlign w:val="center"/>
          </w:tcPr>
          <w:p w:rsidR="000833C6" w:rsidRDefault="00407484">
            <w:pPr>
              <w:keepNext/>
              <w:keepLines/>
              <w:spacing w:after="0" w:line="240" w:lineRule="auto"/>
            </w:pPr>
            <w:r>
              <w:rPr>
                <w:sz w:val="18"/>
              </w:rPr>
              <w:t>PRIHODI POSLOVANJA (šifre 61+62+63+64+65+66+67+68)</w:t>
            </w:r>
          </w:p>
        </w:tc>
        <w:tc>
          <w:tcPr>
            <w:tcW w:w="700" w:type="dxa"/>
            <w:tcMar>
              <w:top w:w="0" w:type="dxa"/>
              <w:bottom w:w="0" w:type="dxa"/>
            </w:tcMar>
            <w:vAlign w:val="center"/>
          </w:tcPr>
          <w:p w:rsidR="000833C6" w:rsidRDefault="00407484">
            <w:pPr>
              <w:keepNext/>
              <w:keepLines/>
              <w:spacing w:after="0" w:line="240" w:lineRule="auto"/>
            </w:pPr>
            <w:r>
              <w:rPr>
                <w:sz w:val="18"/>
              </w:rPr>
              <w:t>6</w:t>
            </w:r>
          </w:p>
        </w:tc>
        <w:tc>
          <w:tcPr>
            <w:tcW w:w="1860" w:type="dxa"/>
            <w:tcMar>
              <w:top w:w="0" w:type="dxa"/>
              <w:bottom w:w="0" w:type="dxa"/>
            </w:tcMar>
            <w:vAlign w:val="center"/>
          </w:tcPr>
          <w:p w:rsidR="000833C6" w:rsidRDefault="00407484">
            <w:pPr>
              <w:keepNext/>
              <w:keepLines/>
              <w:spacing w:after="0" w:line="240" w:lineRule="auto"/>
              <w:jc w:val="right"/>
            </w:pPr>
            <w:r>
              <w:rPr>
                <w:sz w:val="18"/>
              </w:rPr>
              <w:t>825.485,50</w:t>
            </w:r>
          </w:p>
        </w:tc>
        <w:tc>
          <w:tcPr>
            <w:tcW w:w="1860" w:type="dxa"/>
            <w:tcMar>
              <w:top w:w="0" w:type="dxa"/>
              <w:bottom w:w="0" w:type="dxa"/>
            </w:tcMar>
            <w:vAlign w:val="center"/>
          </w:tcPr>
          <w:p w:rsidR="000833C6" w:rsidRDefault="00407484">
            <w:pPr>
              <w:keepNext/>
              <w:keepLines/>
              <w:spacing w:after="0" w:line="240" w:lineRule="auto"/>
              <w:jc w:val="right"/>
            </w:pPr>
            <w:r>
              <w:rPr>
                <w:sz w:val="18"/>
              </w:rPr>
              <w:t>810.525,83</w:t>
            </w:r>
          </w:p>
        </w:tc>
        <w:tc>
          <w:tcPr>
            <w:tcW w:w="700" w:type="dxa"/>
            <w:tcMar>
              <w:top w:w="0" w:type="dxa"/>
              <w:bottom w:w="0" w:type="dxa"/>
            </w:tcMar>
            <w:vAlign w:val="center"/>
          </w:tcPr>
          <w:p w:rsidR="000833C6" w:rsidRDefault="00407484">
            <w:pPr>
              <w:keepNext/>
              <w:keepLines/>
              <w:spacing w:after="0" w:line="240" w:lineRule="auto"/>
              <w:jc w:val="right"/>
            </w:pPr>
            <w:r>
              <w:rPr>
                <w:sz w:val="18"/>
              </w:rPr>
              <w:t>98,2</w:t>
            </w:r>
          </w:p>
        </w:tc>
      </w:tr>
    </w:tbl>
    <w:p w:rsidR="000833C6" w:rsidRDefault="000833C6">
      <w:pPr>
        <w:spacing w:after="0"/>
      </w:pPr>
    </w:p>
    <w:p w:rsidR="000833C6" w:rsidRDefault="00407484">
      <w:r>
        <w:t>Ukupni prihodi su manji za 1,8 % i prate redovne aktivnosti poslovanja te dinamiku isplate EU sredstava po podnesenim i odobrenim Zahtjevima za nadoknadu sredstava.</w:t>
      </w:r>
    </w:p>
    <w:p w:rsidR="000833C6" w:rsidRDefault="000833C6"/>
    <w:p w:rsidR="000833C6" w:rsidRDefault="00407484">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preth</w:t>
            </w:r>
            <w:r>
              <w:rPr>
                <w:b/>
                <w:sz w:val="18"/>
              </w:rPr>
              <w:t>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632</w:t>
            </w:r>
          </w:p>
        </w:tc>
        <w:tc>
          <w:tcPr>
            <w:tcW w:w="3180" w:type="dxa"/>
            <w:tcMar>
              <w:top w:w="0" w:type="dxa"/>
              <w:bottom w:w="0" w:type="dxa"/>
            </w:tcMar>
            <w:vAlign w:val="center"/>
          </w:tcPr>
          <w:p w:rsidR="000833C6" w:rsidRDefault="00407484">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rsidR="000833C6" w:rsidRDefault="00407484">
            <w:pPr>
              <w:keepNext/>
              <w:keepLines/>
              <w:spacing w:after="0" w:line="240" w:lineRule="auto"/>
            </w:pPr>
            <w:r>
              <w:rPr>
                <w:sz w:val="18"/>
              </w:rPr>
              <w:t>632</w:t>
            </w:r>
          </w:p>
        </w:tc>
        <w:tc>
          <w:tcPr>
            <w:tcW w:w="1860" w:type="dxa"/>
            <w:tcMar>
              <w:top w:w="0" w:type="dxa"/>
              <w:bottom w:w="0" w:type="dxa"/>
            </w:tcMar>
            <w:vAlign w:val="center"/>
          </w:tcPr>
          <w:p w:rsidR="000833C6" w:rsidRDefault="00407484">
            <w:pPr>
              <w:keepNext/>
              <w:keepLines/>
              <w:spacing w:after="0" w:line="240" w:lineRule="auto"/>
              <w:jc w:val="right"/>
            </w:pPr>
            <w:r>
              <w:rPr>
                <w:sz w:val="18"/>
              </w:rPr>
              <w:t>63.173,54</w:t>
            </w:r>
          </w:p>
        </w:tc>
        <w:tc>
          <w:tcPr>
            <w:tcW w:w="1860" w:type="dxa"/>
            <w:tcMar>
              <w:top w:w="0" w:type="dxa"/>
              <w:bottom w:w="0" w:type="dxa"/>
            </w:tcMar>
            <w:vAlign w:val="center"/>
          </w:tcPr>
          <w:p w:rsidR="000833C6" w:rsidRDefault="00407484">
            <w:pPr>
              <w:keepNext/>
              <w:keepLines/>
              <w:spacing w:after="0" w:line="240" w:lineRule="auto"/>
              <w:jc w:val="right"/>
            </w:pPr>
            <w:r>
              <w:rPr>
                <w:sz w:val="18"/>
              </w:rPr>
              <w:t>83.436,73</w:t>
            </w:r>
          </w:p>
        </w:tc>
        <w:tc>
          <w:tcPr>
            <w:tcW w:w="700" w:type="dxa"/>
            <w:tcMar>
              <w:top w:w="0" w:type="dxa"/>
              <w:bottom w:w="0" w:type="dxa"/>
            </w:tcMar>
            <w:vAlign w:val="center"/>
          </w:tcPr>
          <w:p w:rsidR="000833C6" w:rsidRDefault="00407484">
            <w:pPr>
              <w:keepNext/>
              <w:keepLines/>
              <w:spacing w:after="0" w:line="240" w:lineRule="auto"/>
              <w:jc w:val="right"/>
            </w:pPr>
            <w:r>
              <w:rPr>
                <w:sz w:val="18"/>
              </w:rPr>
              <w:t>132,1</w:t>
            </w:r>
          </w:p>
        </w:tc>
      </w:tr>
    </w:tbl>
    <w:p w:rsidR="000833C6" w:rsidRDefault="000833C6">
      <w:pPr>
        <w:spacing w:after="0"/>
      </w:pPr>
    </w:p>
    <w:p w:rsidR="000833C6" w:rsidRDefault="00407484">
      <w:r>
        <w:t>Zaprimljena sredstva pomoći od institucija i tijela EU u skladu su sa sklopljenim Ugovorima o provedbi EU projekata u kojima je PORA Regionalna razvojna agencija Koprivničko-križevačke županije korisnik ili projektni partner, a odnose se na projekte „Europ</w:t>
      </w:r>
      <w:r>
        <w:t xml:space="preserve">e </w:t>
      </w:r>
      <w:proofErr w:type="spellStart"/>
      <w:r>
        <w:t>Direct</w:t>
      </w:r>
      <w:proofErr w:type="spellEnd"/>
      <w:r>
        <w:t xml:space="preserve"> Koprivničko-križevačke županije“; „TOURBO - Usmjeravanje mikro, malih i srednjih poduzetnika (MSP-ova) prema digitalnoj i zelenoj tranziciji u turizmu, „BFC - </w:t>
      </w:r>
      <w:proofErr w:type="spellStart"/>
      <w:r>
        <w:t>BioFarms</w:t>
      </w:r>
      <w:proofErr w:type="spellEnd"/>
      <w:r>
        <w:t xml:space="preserve"> </w:t>
      </w:r>
      <w:proofErr w:type="spellStart"/>
      <w:r>
        <w:t>Cluster</w:t>
      </w:r>
      <w:proofErr w:type="spellEnd"/>
      <w:r>
        <w:t xml:space="preserve">“ i „Obnova Doma kulture </w:t>
      </w:r>
      <w:proofErr w:type="spellStart"/>
      <w:r>
        <w:t>Pajo</w:t>
      </w:r>
      <w:proofErr w:type="spellEnd"/>
      <w:r>
        <w:t xml:space="preserve"> </w:t>
      </w:r>
      <w:proofErr w:type="spellStart"/>
      <w:r>
        <w:t>Kanižaj</w:t>
      </w:r>
      <w:proofErr w:type="spellEnd"/>
      <w:r>
        <w:t xml:space="preserve"> u </w:t>
      </w:r>
      <w:proofErr w:type="spellStart"/>
      <w:r>
        <w:t>Đelekovcu</w:t>
      </w:r>
      <w:proofErr w:type="spellEnd"/>
      <w:r>
        <w:t>“ te prate dinamiku pro</w:t>
      </w:r>
      <w:r>
        <w:t>vedbe projekata i isplate sredstava po podnesenim i odobrenim Zahtjevima za nadoknadu sredstava. Prema dinamici projekata prihodi konta 632 veći su za 32% u odnosu na prethodno razdoblje.</w:t>
      </w:r>
    </w:p>
    <w:p w:rsidR="000833C6" w:rsidRDefault="000833C6"/>
    <w:p w:rsidR="000833C6" w:rsidRDefault="00407484">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w:t>
            </w:r>
            <w:r>
              <w:rPr>
                <w:b/>
                <w:sz w:val="18"/>
              </w:rPr>
              <w:t>štajnom razdoblju prethodne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638</w:t>
            </w:r>
          </w:p>
        </w:tc>
        <w:tc>
          <w:tcPr>
            <w:tcW w:w="3180" w:type="dxa"/>
            <w:tcMar>
              <w:top w:w="0" w:type="dxa"/>
              <w:bottom w:w="0" w:type="dxa"/>
            </w:tcMar>
            <w:vAlign w:val="center"/>
          </w:tcPr>
          <w:p w:rsidR="000833C6" w:rsidRDefault="00407484">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0833C6" w:rsidRDefault="00407484">
            <w:pPr>
              <w:keepNext/>
              <w:keepLines/>
              <w:spacing w:after="0" w:line="240" w:lineRule="auto"/>
            </w:pPr>
            <w:r>
              <w:rPr>
                <w:sz w:val="18"/>
              </w:rPr>
              <w:t>638</w:t>
            </w:r>
          </w:p>
        </w:tc>
        <w:tc>
          <w:tcPr>
            <w:tcW w:w="1860" w:type="dxa"/>
            <w:tcMar>
              <w:top w:w="0" w:type="dxa"/>
              <w:bottom w:w="0" w:type="dxa"/>
            </w:tcMar>
            <w:vAlign w:val="center"/>
          </w:tcPr>
          <w:p w:rsidR="000833C6" w:rsidRDefault="00407484">
            <w:pPr>
              <w:keepNext/>
              <w:keepLines/>
              <w:spacing w:after="0" w:line="240" w:lineRule="auto"/>
              <w:jc w:val="right"/>
            </w:pPr>
            <w:r>
              <w:rPr>
                <w:sz w:val="18"/>
              </w:rPr>
              <w:t>429.189,22</w:t>
            </w:r>
          </w:p>
        </w:tc>
        <w:tc>
          <w:tcPr>
            <w:tcW w:w="1860" w:type="dxa"/>
            <w:tcMar>
              <w:top w:w="0" w:type="dxa"/>
              <w:bottom w:w="0" w:type="dxa"/>
            </w:tcMar>
            <w:vAlign w:val="center"/>
          </w:tcPr>
          <w:p w:rsidR="000833C6" w:rsidRDefault="00407484">
            <w:pPr>
              <w:keepNext/>
              <w:keepLines/>
              <w:spacing w:after="0" w:line="240" w:lineRule="auto"/>
              <w:jc w:val="right"/>
            </w:pPr>
            <w:r>
              <w:rPr>
                <w:sz w:val="18"/>
              </w:rPr>
              <w:t>326.455,03</w:t>
            </w:r>
          </w:p>
        </w:tc>
        <w:tc>
          <w:tcPr>
            <w:tcW w:w="700" w:type="dxa"/>
            <w:tcMar>
              <w:top w:w="0" w:type="dxa"/>
              <w:bottom w:w="0" w:type="dxa"/>
            </w:tcMar>
            <w:vAlign w:val="center"/>
          </w:tcPr>
          <w:p w:rsidR="000833C6" w:rsidRDefault="00407484">
            <w:pPr>
              <w:keepNext/>
              <w:keepLines/>
              <w:spacing w:after="0" w:line="240" w:lineRule="auto"/>
              <w:jc w:val="right"/>
            </w:pPr>
            <w:r>
              <w:rPr>
                <w:sz w:val="18"/>
              </w:rPr>
              <w:t>76,1</w:t>
            </w:r>
          </w:p>
        </w:tc>
      </w:tr>
    </w:tbl>
    <w:p w:rsidR="000833C6" w:rsidRDefault="000833C6">
      <w:pPr>
        <w:spacing w:after="0"/>
      </w:pPr>
    </w:p>
    <w:p w:rsidR="000833C6" w:rsidRDefault="00407484">
      <w:r>
        <w:t>Sukladno Sporazumu o dodjeli bespovratnih sredstava u provedbi aktivnosti jačanja kapaciteta na regionalnoj i lokalnoj razini za korištenje sredstava EU fondova Ministarstva regionalnoga razvoja i fondova EU i dinamici isplate sredstava po istome, zaprimlj</w:t>
      </w:r>
      <w:r>
        <w:t>ena su sredstva za 3. i 4. obrok isplate što ujedno označava završetak provedbe Sporazuma. </w:t>
      </w:r>
    </w:p>
    <w:p w:rsidR="000833C6" w:rsidRDefault="000833C6"/>
    <w:p w:rsidR="000833C6" w:rsidRDefault="00407484">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671</w:t>
            </w:r>
          </w:p>
        </w:tc>
        <w:tc>
          <w:tcPr>
            <w:tcW w:w="3180" w:type="dxa"/>
            <w:tcMar>
              <w:top w:w="0" w:type="dxa"/>
              <w:bottom w:w="0" w:type="dxa"/>
            </w:tcMar>
            <w:vAlign w:val="center"/>
          </w:tcPr>
          <w:p w:rsidR="000833C6" w:rsidRDefault="00407484">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0833C6" w:rsidRDefault="00407484">
            <w:pPr>
              <w:keepNext/>
              <w:keepLines/>
              <w:spacing w:after="0" w:line="240" w:lineRule="auto"/>
            </w:pPr>
            <w:r>
              <w:rPr>
                <w:sz w:val="18"/>
              </w:rPr>
              <w:t>671</w:t>
            </w:r>
          </w:p>
        </w:tc>
        <w:tc>
          <w:tcPr>
            <w:tcW w:w="1860" w:type="dxa"/>
            <w:tcMar>
              <w:top w:w="0" w:type="dxa"/>
              <w:bottom w:w="0" w:type="dxa"/>
            </w:tcMar>
            <w:vAlign w:val="center"/>
          </w:tcPr>
          <w:p w:rsidR="000833C6" w:rsidRDefault="00407484">
            <w:pPr>
              <w:keepNext/>
              <w:keepLines/>
              <w:spacing w:after="0" w:line="240" w:lineRule="auto"/>
              <w:jc w:val="right"/>
            </w:pPr>
            <w:r>
              <w:rPr>
                <w:sz w:val="18"/>
              </w:rPr>
              <w:t>331.975,82</w:t>
            </w:r>
          </w:p>
        </w:tc>
        <w:tc>
          <w:tcPr>
            <w:tcW w:w="1860" w:type="dxa"/>
            <w:tcMar>
              <w:top w:w="0" w:type="dxa"/>
              <w:bottom w:w="0" w:type="dxa"/>
            </w:tcMar>
            <w:vAlign w:val="center"/>
          </w:tcPr>
          <w:p w:rsidR="000833C6" w:rsidRDefault="00407484">
            <w:pPr>
              <w:keepNext/>
              <w:keepLines/>
              <w:spacing w:after="0" w:line="240" w:lineRule="auto"/>
              <w:jc w:val="right"/>
            </w:pPr>
            <w:r>
              <w:rPr>
                <w:sz w:val="18"/>
              </w:rPr>
              <w:t>400.633,94</w:t>
            </w:r>
          </w:p>
        </w:tc>
        <w:tc>
          <w:tcPr>
            <w:tcW w:w="700" w:type="dxa"/>
            <w:tcMar>
              <w:top w:w="0" w:type="dxa"/>
              <w:bottom w:w="0" w:type="dxa"/>
            </w:tcMar>
            <w:vAlign w:val="center"/>
          </w:tcPr>
          <w:p w:rsidR="000833C6" w:rsidRDefault="00407484">
            <w:pPr>
              <w:keepNext/>
              <w:keepLines/>
              <w:spacing w:after="0" w:line="240" w:lineRule="auto"/>
              <w:jc w:val="right"/>
            </w:pPr>
            <w:r>
              <w:rPr>
                <w:sz w:val="18"/>
              </w:rPr>
              <w:t>120,7</w:t>
            </w:r>
          </w:p>
        </w:tc>
      </w:tr>
    </w:tbl>
    <w:p w:rsidR="000833C6" w:rsidRDefault="000833C6">
      <w:pPr>
        <w:spacing w:after="0"/>
      </w:pPr>
    </w:p>
    <w:p w:rsidR="000833C6" w:rsidRDefault="00407484">
      <w:r>
        <w:t>Prihodi iz nadležnog Proračuna Koprivničko-križevačke županije za financiranje redovne djelatnosti veći su za 20,7 % u odnosu na proteklu godinu i u skladu su s planiranim aktivnostima po Programu rada PORE Regionalne razvojne agencije Koprivničko-križevač</w:t>
      </w:r>
      <w:r>
        <w:t>ke županije i Financijskim planom, a rezultat su financiranja tekućih troškova iz nadležnog proračuna uslijed povećanja istih. </w:t>
      </w:r>
    </w:p>
    <w:p w:rsidR="000833C6" w:rsidRDefault="000833C6"/>
    <w:p w:rsidR="000833C6" w:rsidRDefault="00407484">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311</w:t>
            </w:r>
          </w:p>
        </w:tc>
        <w:tc>
          <w:tcPr>
            <w:tcW w:w="3180" w:type="dxa"/>
            <w:tcMar>
              <w:top w:w="0" w:type="dxa"/>
              <w:bottom w:w="0" w:type="dxa"/>
            </w:tcMar>
            <w:vAlign w:val="center"/>
          </w:tcPr>
          <w:p w:rsidR="000833C6" w:rsidRDefault="00407484">
            <w:pPr>
              <w:keepNext/>
              <w:keepLines/>
              <w:spacing w:after="0" w:line="240" w:lineRule="auto"/>
            </w:pPr>
            <w:r>
              <w:rPr>
                <w:sz w:val="18"/>
              </w:rPr>
              <w:t>Plaće (bruto) (šifre 3111 do 3114)</w:t>
            </w:r>
          </w:p>
        </w:tc>
        <w:tc>
          <w:tcPr>
            <w:tcW w:w="700" w:type="dxa"/>
            <w:tcMar>
              <w:top w:w="0" w:type="dxa"/>
              <w:bottom w:w="0" w:type="dxa"/>
            </w:tcMar>
            <w:vAlign w:val="center"/>
          </w:tcPr>
          <w:p w:rsidR="000833C6" w:rsidRDefault="00407484">
            <w:pPr>
              <w:keepNext/>
              <w:keepLines/>
              <w:spacing w:after="0" w:line="240" w:lineRule="auto"/>
            </w:pPr>
            <w:r>
              <w:rPr>
                <w:sz w:val="18"/>
              </w:rPr>
              <w:t>311</w:t>
            </w:r>
          </w:p>
        </w:tc>
        <w:tc>
          <w:tcPr>
            <w:tcW w:w="1860" w:type="dxa"/>
            <w:tcMar>
              <w:top w:w="0" w:type="dxa"/>
              <w:bottom w:w="0" w:type="dxa"/>
            </w:tcMar>
            <w:vAlign w:val="center"/>
          </w:tcPr>
          <w:p w:rsidR="000833C6" w:rsidRDefault="00407484">
            <w:pPr>
              <w:keepNext/>
              <w:keepLines/>
              <w:spacing w:after="0" w:line="240" w:lineRule="auto"/>
              <w:jc w:val="right"/>
            </w:pPr>
            <w:r>
              <w:rPr>
                <w:sz w:val="18"/>
              </w:rPr>
              <w:t>451.660,57</w:t>
            </w:r>
          </w:p>
        </w:tc>
        <w:tc>
          <w:tcPr>
            <w:tcW w:w="1860" w:type="dxa"/>
            <w:tcMar>
              <w:top w:w="0" w:type="dxa"/>
              <w:bottom w:w="0" w:type="dxa"/>
            </w:tcMar>
            <w:vAlign w:val="center"/>
          </w:tcPr>
          <w:p w:rsidR="000833C6" w:rsidRDefault="00407484">
            <w:pPr>
              <w:keepNext/>
              <w:keepLines/>
              <w:spacing w:after="0" w:line="240" w:lineRule="auto"/>
              <w:jc w:val="right"/>
            </w:pPr>
            <w:r>
              <w:rPr>
                <w:sz w:val="18"/>
              </w:rPr>
              <w:t>570.431,68</w:t>
            </w:r>
          </w:p>
        </w:tc>
        <w:tc>
          <w:tcPr>
            <w:tcW w:w="700" w:type="dxa"/>
            <w:tcMar>
              <w:top w:w="0" w:type="dxa"/>
              <w:bottom w:w="0" w:type="dxa"/>
            </w:tcMar>
            <w:vAlign w:val="center"/>
          </w:tcPr>
          <w:p w:rsidR="000833C6" w:rsidRDefault="00407484">
            <w:pPr>
              <w:keepNext/>
              <w:keepLines/>
              <w:spacing w:after="0" w:line="240" w:lineRule="auto"/>
              <w:jc w:val="right"/>
            </w:pPr>
            <w:r>
              <w:rPr>
                <w:sz w:val="18"/>
              </w:rPr>
              <w:t>126,3</w:t>
            </w:r>
          </w:p>
        </w:tc>
      </w:tr>
    </w:tbl>
    <w:p w:rsidR="000833C6" w:rsidRDefault="000833C6">
      <w:pPr>
        <w:spacing w:after="0"/>
      </w:pPr>
    </w:p>
    <w:p w:rsidR="000833C6" w:rsidRDefault="00407484">
      <w:r>
        <w:t>Rashodi za plaće zaposlenika veći su za 26,3% zbog primjene čl. 233. Pravilnika o proračunskom računovodstvu po kojem je ukinuta podskupina 193 - kontinuirani rashodi budućih razdoblja tako da će u 2025. biti  jedan rashod za plaće više odnosno plaća za mj</w:t>
      </w:r>
      <w:r>
        <w:t>esec prosinac knjižena je u trošak 2025. godine.</w:t>
      </w:r>
    </w:p>
    <w:p w:rsidR="000833C6" w:rsidRDefault="000833C6"/>
    <w:p w:rsidR="000833C6" w:rsidRDefault="00407484">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312</w:t>
            </w:r>
          </w:p>
        </w:tc>
        <w:tc>
          <w:tcPr>
            <w:tcW w:w="3180" w:type="dxa"/>
            <w:tcMar>
              <w:top w:w="0" w:type="dxa"/>
              <w:bottom w:w="0" w:type="dxa"/>
            </w:tcMar>
            <w:vAlign w:val="center"/>
          </w:tcPr>
          <w:p w:rsidR="000833C6" w:rsidRDefault="00407484">
            <w:pPr>
              <w:keepNext/>
              <w:keepLines/>
              <w:spacing w:after="0" w:line="240" w:lineRule="auto"/>
            </w:pPr>
            <w:r>
              <w:rPr>
                <w:sz w:val="18"/>
              </w:rPr>
              <w:t>Ostali rashodi za zaposlene</w:t>
            </w:r>
          </w:p>
        </w:tc>
        <w:tc>
          <w:tcPr>
            <w:tcW w:w="700" w:type="dxa"/>
            <w:tcMar>
              <w:top w:w="0" w:type="dxa"/>
              <w:bottom w:w="0" w:type="dxa"/>
            </w:tcMar>
            <w:vAlign w:val="center"/>
          </w:tcPr>
          <w:p w:rsidR="000833C6" w:rsidRDefault="00407484">
            <w:pPr>
              <w:keepNext/>
              <w:keepLines/>
              <w:spacing w:after="0" w:line="240" w:lineRule="auto"/>
            </w:pPr>
            <w:r>
              <w:rPr>
                <w:sz w:val="18"/>
              </w:rPr>
              <w:t>312</w:t>
            </w:r>
          </w:p>
        </w:tc>
        <w:tc>
          <w:tcPr>
            <w:tcW w:w="1860" w:type="dxa"/>
            <w:tcMar>
              <w:top w:w="0" w:type="dxa"/>
              <w:bottom w:w="0" w:type="dxa"/>
            </w:tcMar>
            <w:vAlign w:val="center"/>
          </w:tcPr>
          <w:p w:rsidR="000833C6" w:rsidRDefault="00407484">
            <w:pPr>
              <w:keepNext/>
              <w:keepLines/>
              <w:spacing w:after="0" w:line="240" w:lineRule="auto"/>
              <w:jc w:val="right"/>
            </w:pPr>
            <w:r>
              <w:rPr>
                <w:sz w:val="18"/>
              </w:rPr>
              <w:t>36.775,80</w:t>
            </w:r>
          </w:p>
        </w:tc>
        <w:tc>
          <w:tcPr>
            <w:tcW w:w="1860" w:type="dxa"/>
            <w:tcMar>
              <w:top w:w="0" w:type="dxa"/>
              <w:bottom w:w="0" w:type="dxa"/>
            </w:tcMar>
            <w:vAlign w:val="center"/>
          </w:tcPr>
          <w:p w:rsidR="000833C6" w:rsidRDefault="00407484">
            <w:pPr>
              <w:keepNext/>
              <w:keepLines/>
              <w:spacing w:after="0" w:line="240" w:lineRule="auto"/>
              <w:jc w:val="right"/>
            </w:pPr>
            <w:r>
              <w:rPr>
                <w:sz w:val="18"/>
              </w:rPr>
              <w:t>75.691,72</w:t>
            </w:r>
          </w:p>
        </w:tc>
        <w:tc>
          <w:tcPr>
            <w:tcW w:w="700" w:type="dxa"/>
            <w:tcMar>
              <w:top w:w="0" w:type="dxa"/>
              <w:bottom w:w="0" w:type="dxa"/>
            </w:tcMar>
            <w:vAlign w:val="center"/>
          </w:tcPr>
          <w:p w:rsidR="000833C6" w:rsidRDefault="00407484">
            <w:pPr>
              <w:keepNext/>
              <w:keepLines/>
              <w:spacing w:after="0" w:line="240" w:lineRule="auto"/>
              <w:jc w:val="right"/>
            </w:pPr>
            <w:r>
              <w:rPr>
                <w:sz w:val="18"/>
              </w:rPr>
              <w:t>205,8</w:t>
            </w:r>
          </w:p>
        </w:tc>
      </w:tr>
    </w:tbl>
    <w:p w:rsidR="000833C6" w:rsidRDefault="000833C6">
      <w:pPr>
        <w:spacing w:after="0"/>
      </w:pPr>
    </w:p>
    <w:p w:rsidR="000833C6" w:rsidRDefault="00407484">
      <w:r>
        <w:t>Ostali rashodi za zaposlene povećani su za 105,8% jer je u izvještajnom razdoblju bila isplata otpremnine. </w:t>
      </w:r>
    </w:p>
    <w:p w:rsidR="000833C6" w:rsidRDefault="000833C6"/>
    <w:p w:rsidR="000833C6" w:rsidRDefault="00407484">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313</w:t>
            </w:r>
          </w:p>
        </w:tc>
        <w:tc>
          <w:tcPr>
            <w:tcW w:w="3180" w:type="dxa"/>
            <w:tcMar>
              <w:top w:w="0" w:type="dxa"/>
              <w:bottom w:w="0" w:type="dxa"/>
            </w:tcMar>
            <w:vAlign w:val="center"/>
          </w:tcPr>
          <w:p w:rsidR="000833C6" w:rsidRDefault="00407484">
            <w:pPr>
              <w:keepNext/>
              <w:keepLines/>
              <w:spacing w:after="0" w:line="240" w:lineRule="auto"/>
            </w:pPr>
            <w:r>
              <w:rPr>
                <w:sz w:val="18"/>
              </w:rPr>
              <w:t>Doprinosi na plaće (šifre 3131 do 3133)</w:t>
            </w:r>
          </w:p>
        </w:tc>
        <w:tc>
          <w:tcPr>
            <w:tcW w:w="700" w:type="dxa"/>
            <w:tcMar>
              <w:top w:w="0" w:type="dxa"/>
              <w:bottom w:w="0" w:type="dxa"/>
            </w:tcMar>
            <w:vAlign w:val="center"/>
          </w:tcPr>
          <w:p w:rsidR="000833C6" w:rsidRDefault="00407484">
            <w:pPr>
              <w:keepNext/>
              <w:keepLines/>
              <w:spacing w:after="0" w:line="240" w:lineRule="auto"/>
            </w:pPr>
            <w:r>
              <w:rPr>
                <w:sz w:val="18"/>
              </w:rPr>
              <w:t>313</w:t>
            </w:r>
          </w:p>
        </w:tc>
        <w:tc>
          <w:tcPr>
            <w:tcW w:w="1860" w:type="dxa"/>
            <w:tcMar>
              <w:top w:w="0" w:type="dxa"/>
              <w:bottom w:w="0" w:type="dxa"/>
            </w:tcMar>
            <w:vAlign w:val="center"/>
          </w:tcPr>
          <w:p w:rsidR="000833C6" w:rsidRDefault="00407484">
            <w:pPr>
              <w:keepNext/>
              <w:keepLines/>
              <w:spacing w:after="0" w:line="240" w:lineRule="auto"/>
              <w:jc w:val="right"/>
            </w:pPr>
            <w:r>
              <w:rPr>
                <w:sz w:val="18"/>
              </w:rPr>
              <w:t>58.649,13</w:t>
            </w:r>
          </w:p>
        </w:tc>
        <w:tc>
          <w:tcPr>
            <w:tcW w:w="1860" w:type="dxa"/>
            <w:tcMar>
              <w:top w:w="0" w:type="dxa"/>
              <w:bottom w:w="0" w:type="dxa"/>
            </w:tcMar>
            <w:vAlign w:val="center"/>
          </w:tcPr>
          <w:p w:rsidR="000833C6" w:rsidRDefault="00407484">
            <w:pPr>
              <w:keepNext/>
              <w:keepLines/>
              <w:spacing w:after="0" w:line="240" w:lineRule="auto"/>
              <w:jc w:val="right"/>
            </w:pPr>
            <w:r>
              <w:rPr>
                <w:sz w:val="18"/>
              </w:rPr>
              <w:t>71.594,10</w:t>
            </w:r>
          </w:p>
        </w:tc>
        <w:tc>
          <w:tcPr>
            <w:tcW w:w="700" w:type="dxa"/>
            <w:tcMar>
              <w:top w:w="0" w:type="dxa"/>
              <w:bottom w:w="0" w:type="dxa"/>
            </w:tcMar>
            <w:vAlign w:val="center"/>
          </w:tcPr>
          <w:p w:rsidR="000833C6" w:rsidRDefault="00407484">
            <w:pPr>
              <w:keepNext/>
              <w:keepLines/>
              <w:spacing w:after="0" w:line="240" w:lineRule="auto"/>
              <w:jc w:val="right"/>
            </w:pPr>
            <w:r>
              <w:rPr>
                <w:sz w:val="18"/>
              </w:rPr>
              <w:t>122,1</w:t>
            </w:r>
          </w:p>
        </w:tc>
      </w:tr>
    </w:tbl>
    <w:p w:rsidR="000833C6" w:rsidRDefault="000833C6">
      <w:pPr>
        <w:spacing w:after="0"/>
      </w:pPr>
    </w:p>
    <w:p w:rsidR="000833C6" w:rsidRDefault="00407484">
      <w:r>
        <w:lastRenderedPageBreak/>
        <w:t>Sukladno povećanju rashoda za bruto plaće došlo je do povećanja i rashoda za doprinose obveznog zdravstvenog osiguranja.</w:t>
      </w:r>
    </w:p>
    <w:p w:rsidR="000833C6" w:rsidRDefault="000833C6"/>
    <w:p w:rsidR="000833C6" w:rsidRDefault="00407484">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3237</w:t>
            </w:r>
          </w:p>
        </w:tc>
        <w:tc>
          <w:tcPr>
            <w:tcW w:w="3180" w:type="dxa"/>
            <w:tcMar>
              <w:top w:w="0" w:type="dxa"/>
              <w:bottom w:w="0" w:type="dxa"/>
            </w:tcMar>
            <w:vAlign w:val="center"/>
          </w:tcPr>
          <w:p w:rsidR="000833C6" w:rsidRDefault="00407484">
            <w:pPr>
              <w:keepNext/>
              <w:keepLines/>
              <w:spacing w:after="0" w:line="240" w:lineRule="auto"/>
            </w:pPr>
            <w:r>
              <w:rPr>
                <w:sz w:val="18"/>
              </w:rPr>
              <w:t>Intelektualne i osobne usluge</w:t>
            </w:r>
          </w:p>
        </w:tc>
        <w:tc>
          <w:tcPr>
            <w:tcW w:w="700" w:type="dxa"/>
            <w:tcMar>
              <w:top w:w="0" w:type="dxa"/>
              <w:bottom w:w="0" w:type="dxa"/>
            </w:tcMar>
            <w:vAlign w:val="center"/>
          </w:tcPr>
          <w:p w:rsidR="000833C6" w:rsidRDefault="00407484">
            <w:pPr>
              <w:keepNext/>
              <w:keepLines/>
              <w:spacing w:after="0" w:line="240" w:lineRule="auto"/>
            </w:pPr>
            <w:r>
              <w:rPr>
                <w:sz w:val="18"/>
              </w:rPr>
              <w:t>3237</w:t>
            </w:r>
          </w:p>
        </w:tc>
        <w:tc>
          <w:tcPr>
            <w:tcW w:w="1860" w:type="dxa"/>
            <w:tcMar>
              <w:top w:w="0" w:type="dxa"/>
              <w:bottom w:w="0" w:type="dxa"/>
            </w:tcMar>
            <w:vAlign w:val="center"/>
          </w:tcPr>
          <w:p w:rsidR="000833C6" w:rsidRDefault="00407484">
            <w:pPr>
              <w:keepNext/>
              <w:keepLines/>
              <w:spacing w:after="0" w:line="240" w:lineRule="auto"/>
              <w:jc w:val="right"/>
            </w:pPr>
            <w:r>
              <w:rPr>
                <w:sz w:val="18"/>
              </w:rPr>
              <w:t>62.548,06</w:t>
            </w:r>
          </w:p>
        </w:tc>
        <w:tc>
          <w:tcPr>
            <w:tcW w:w="1860" w:type="dxa"/>
            <w:tcMar>
              <w:top w:w="0" w:type="dxa"/>
              <w:bottom w:w="0" w:type="dxa"/>
            </w:tcMar>
            <w:vAlign w:val="center"/>
          </w:tcPr>
          <w:p w:rsidR="000833C6" w:rsidRDefault="00407484">
            <w:pPr>
              <w:keepNext/>
              <w:keepLines/>
              <w:spacing w:after="0" w:line="240" w:lineRule="auto"/>
              <w:jc w:val="right"/>
            </w:pPr>
            <w:r>
              <w:rPr>
                <w:sz w:val="18"/>
              </w:rPr>
              <w:t>19.189,78</w:t>
            </w:r>
          </w:p>
        </w:tc>
        <w:tc>
          <w:tcPr>
            <w:tcW w:w="700" w:type="dxa"/>
            <w:tcMar>
              <w:top w:w="0" w:type="dxa"/>
              <w:bottom w:w="0" w:type="dxa"/>
            </w:tcMar>
            <w:vAlign w:val="center"/>
          </w:tcPr>
          <w:p w:rsidR="000833C6" w:rsidRDefault="00407484">
            <w:pPr>
              <w:keepNext/>
              <w:keepLines/>
              <w:spacing w:after="0" w:line="240" w:lineRule="auto"/>
              <w:jc w:val="right"/>
            </w:pPr>
            <w:r>
              <w:rPr>
                <w:sz w:val="18"/>
              </w:rPr>
              <w:t>30,7</w:t>
            </w:r>
          </w:p>
        </w:tc>
      </w:tr>
    </w:tbl>
    <w:p w:rsidR="000833C6" w:rsidRDefault="000833C6">
      <w:pPr>
        <w:spacing w:after="0"/>
      </w:pPr>
    </w:p>
    <w:p w:rsidR="000833C6" w:rsidRDefault="00407484">
      <w:r>
        <w:t>Rashodi za intelektualne usluge su manji za 69,3%  uslijed činjenice da je na toj stavci u prošloj godini bio trošak vanjskih stručnjaka za projektiranje  projektno-tehničke dokumentacije, a u 2025. godini tog troška više nema.</w:t>
      </w:r>
    </w:p>
    <w:p w:rsidR="000833C6" w:rsidRDefault="000833C6"/>
    <w:p w:rsidR="000833C6" w:rsidRDefault="00407484">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0833C6">
            <w:pPr>
              <w:keepNext/>
              <w:keepLines/>
              <w:spacing w:after="0" w:line="240" w:lineRule="auto"/>
            </w:pPr>
          </w:p>
        </w:tc>
        <w:tc>
          <w:tcPr>
            <w:tcW w:w="3180" w:type="dxa"/>
            <w:tcMar>
              <w:top w:w="0" w:type="dxa"/>
              <w:bottom w:w="0" w:type="dxa"/>
            </w:tcMar>
            <w:vAlign w:val="center"/>
          </w:tcPr>
          <w:p w:rsidR="000833C6" w:rsidRDefault="00407484">
            <w:pPr>
              <w:keepNext/>
              <w:keepLines/>
              <w:spacing w:after="0" w:line="240" w:lineRule="auto"/>
            </w:pPr>
            <w:r>
              <w:rPr>
                <w:sz w:val="18"/>
              </w:rPr>
              <w:t>MANJAK PRIHODA I PRIMITAKA (šifre Y345-X678)</w:t>
            </w:r>
          </w:p>
        </w:tc>
        <w:tc>
          <w:tcPr>
            <w:tcW w:w="700" w:type="dxa"/>
            <w:tcMar>
              <w:top w:w="0" w:type="dxa"/>
              <w:bottom w:w="0" w:type="dxa"/>
            </w:tcMar>
            <w:vAlign w:val="center"/>
          </w:tcPr>
          <w:p w:rsidR="000833C6" w:rsidRDefault="00407484">
            <w:pPr>
              <w:keepNext/>
              <w:keepLines/>
              <w:spacing w:after="0" w:line="240" w:lineRule="auto"/>
            </w:pPr>
            <w:r>
              <w:rPr>
                <w:sz w:val="18"/>
              </w:rPr>
              <w:t>Y005</w:t>
            </w:r>
          </w:p>
        </w:tc>
        <w:tc>
          <w:tcPr>
            <w:tcW w:w="1860" w:type="dxa"/>
            <w:tcMar>
              <w:top w:w="0" w:type="dxa"/>
              <w:bottom w:w="0" w:type="dxa"/>
            </w:tcMar>
            <w:vAlign w:val="center"/>
          </w:tcPr>
          <w:p w:rsidR="000833C6" w:rsidRDefault="00407484">
            <w:pPr>
              <w:keepNext/>
              <w:keepLines/>
              <w:spacing w:after="0" w:line="240" w:lineRule="auto"/>
              <w:jc w:val="right"/>
            </w:pPr>
            <w:r>
              <w:rPr>
                <w:sz w:val="18"/>
              </w:rPr>
              <w:t>0,00</w:t>
            </w:r>
          </w:p>
        </w:tc>
        <w:tc>
          <w:tcPr>
            <w:tcW w:w="1860" w:type="dxa"/>
            <w:tcMar>
              <w:top w:w="0" w:type="dxa"/>
              <w:bottom w:w="0" w:type="dxa"/>
            </w:tcMar>
            <w:vAlign w:val="center"/>
          </w:tcPr>
          <w:p w:rsidR="000833C6" w:rsidRDefault="00407484">
            <w:pPr>
              <w:keepNext/>
              <w:keepLines/>
              <w:spacing w:after="0" w:line="240" w:lineRule="auto"/>
              <w:jc w:val="right"/>
            </w:pPr>
            <w:r>
              <w:rPr>
                <w:sz w:val="18"/>
              </w:rPr>
              <w:t>47.207,15</w:t>
            </w:r>
          </w:p>
        </w:tc>
        <w:tc>
          <w:tcPr>
            <w:tcW w:w="700" w:type="dxa"/>
            <w:tcMar>
              <w:top w:w="0" w:type="dxa"/>
              <w:bottom w:w="0" w:type="dxa"/>
            </w:tcMar>
            <w:vAlign w:val="center"/>
          </w:tcPr>
          <w:p w:rsidR="000833C6" w:rsidRDefault="00407484">
            <w:pPr>
              <w:keepNext/>
              <w:keepLines/>
              <w:spacing w:after="0" w:line="240" w:lineRule="auto"/>
              <w:jc w:val="right"/>
            </w:pPr>
            <w:r>
              <w:rPr>
                <w:sz w:val="18"/>
              </w:rPr>
              <w:t>-</w:t>
            </w:r>
          </w:p>
        </w:tc>
      </w:tr>
    </w:tbl>
    <w:p w:rsidR="000833C6" w:rsidRDefault="000833C6">
      <w:pPr>
        <w:spacing w:after="0"/>
      </w:pPr>
    </w:p>
    <w:p w:rsidR="000833C6" w:rsidRDefault="00407484">
      <w:r>
        <w:t>Rezultat poslovanja izvještajnog razdoblja je manjak prihoda poslovanja od 47.207,15 eura. Iskazani manjak prihoda nad rashodima za izvještajno razdoblje kao rezultat poslovanja nastao je zbog dinamike projektnih aktivnosti te dinamike isplate EU sredstava</w:t>
      </w:r>
      <w:r>
        <w:t xml:space="preserve"> po podnesenim i odobrenim Zahtjevima za nadoknadu sredstava te primjene čl. 233. Pravilnika o proračunskom računovodstvu.</w:t>
      </w:r>
    </w:p>
    <w:p w:rsidR="000833C6" w:rsidRDefault="000833C6"/>
    <w:p w:rsidR="000833C6" w:rsidRDefault="00407484">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Ostvareno u izvještajnom razd</w:t>
            </w:r>
            <w:r>
              <w:rPr>
                <w:b/>
                <w:sz w:val="18"/>
              </w:rPr>
              <w:t>oblju tekuće godine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407484">
            <w:pPr>
              <w:keepNext/>
              <w:keepLines/>
              <w:spacing w:after="0" w:line="240" w:lineRule="auto"/>
            </w:pPr>
            <w:r>
              <w:rPr>
                <w:sz w:val="18"/>
              </w:rPr>
              <w:t>9222-9221</w:t>
            </w:r>
          </w:p>
        </w:tc>
        <w:tc>
          <w:tcPr>
            <w:tcW w:w="3180" w:type="dxa"/>
            <w:tcMar>
              <w:top w:w="0" w:type="dxa"/>
              <w:bottom w:w="0" w:type="dxa"/>
            </w:tcMar>
            <w:vAlign w:val="center"/>
          </w:tcPr>
          <w:p w:rsidR="000833C6" w:rsidRDefault="00407484">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rsidR="000833C6" w:rsidRDefault="00407484">
            <w:pPr>
              <w:keepNext/>
              <w:keepLines/>
              <w:spacing w:after="0" w:line="240" w:lineRule="auto"/>
            </w:pPr>
            <w:r>
              <w:rPr>
                <w:sz w:val="18"/>
              </w:rPr>
              <w:t>9222-9221</w:t>
            </w:r>
          </w:p>
        </w:tc>
        <w:tc>
          <w:tcPr>
            <w:tcW w:w="1860" w:type="dxa"/>
            <w:tcMar>
              <w:top w:w="0" w:type="dxa"/>
              <w:bottom w:w="0" w:type="dxa"/>
            </w:tcMar>
            <w:vAlign w:val="center"/>
          </w:tcPr>
          <w:p w:rsidR="000833C6" w:rsidRDefault="00407484">
            <w:pPr>
              <w:keepNext/>
              <w:keepLines/>
              <w:spacing w:after="0" w:line="240" w:lineRule="auto"/>
              <w:jc w:val="right"/>
            </w:pPr>
            <w:r>
              <w:rPr>
                <w:sz w:val="18"/>
              </w:rPr>
              <w:t>164.635,45</w:t>
            </w:r>
          </w:p>
        </w:tc>
        <w:tc>
          <w:tcPr>
            <w:tcW w:w="1860" w:type="dxa"/>
            <w:tcMar>
              <w:top w:w="0" w:type="dxa"/>
              <w:bottom w:w="0" w:type="dxa"/>
            </w:tcMar>
            <w:vAlign w:val="center"/>
          </w:tcPr>
          <w:p w:rsidR="000833C6" w:rsidRDefault="00407484">
            <w:pPr>
              <w:keepNext/>
              <w:keepLines/>
              <w:spacing w:after="0" w:line="240" w:lineRule="auto"/>
              <w:jc w:val="right"/>
            </w:pPr>
            <w:r>
              <w:rPr>
                <w:sz w:val="18"/>
              </w:rPr>
              <w:t>94.227,25</w:t>
            </w:r>
          </w:p>
        </w:tc>
        <w:tc>
          <w:tcPr>
            <w:tcW w:w="700" w:type="dxa"/>
            <w:tcMar>
              <w:top w:w="0" w:type="dxa"/>
              <w:bottom w:w="0" w:type="dxa"/>
            </w:tcMar>
            <w:vAlign w:val="center"/>
          </w:tcPr>
          <w:p w:rsidR="000833C6" w:rsidRDefault="00407484">
            <w:pPr>
              <w:keepNext/>
              <w:keepLines/>
              <w:spacing w:after="0" w:line="240" w:lineRule="auto"/>
              <w:jc w:val="right"/>
            </w:pPr>
            <w:r>
              <w:rPr>
                <w:sz w:val="18"/>
              </w:rPr>
              <w:t>57,2</w:t>
            </w:r>
          </w:p>
        </w:tc>
      </w:tr>
    </w:tbl>
    <w:p w:rsidR="000833C6" w:rsidRDefault="000833C6">
      <w:pPr>
        <w:spacing w:after="0"/>
      </w:pPr>
    </w:p>
    <w:p w:rsidR="000833C6" w:rsidRDefault="00407484">
      <w:r>
        <w:t xml:space="preserve">Preneseni manjak prihoda poslovanja iz 2024. iznosi 77.107,12 eura. Tijekom 2025. izvršene su korekcije rezultata na ime </w:t>
      </w:r>
      <w:proofErr w:type="spellStart"/>
      <w:r>
        <w:t>predfinanciranja</w:t>
      </w:r>
      <w:proofErr w:type="spellEnd"/>
      <w:r>
        <w:t xml:space="preserve"> provedbe aktivnosti EU projekata iz Proračuna Koprivničko-križevačke županije po izvoru 1.9. u iznosu od 7.001,84 eura</w:t>
      </w:r>
      <w:r>
        <w:t>, zatim zbog dobivenih sredstva MRRFEU za sufinanciranje projekata u iznosu od 10.118,29 eura koja su vraćena nadležnom proračunu koji sufinancira EU projekte, te ukupni manjak prihoda poslovanja za prijenos iznosi 94.227,25 eura.</w:t>
      </w:r>
    </w:p>
    <w:p w:rsidR="000833C6" w:rsidRDefault="00407484">
      <w:r>
        <w:t>Rezultat poslovanja tekuć</w:t>
      </w:r>
      <w:r>
        <w:t>e godine je manjak prihoda i primitaka poslovanja u iznosu 47.207,15 pa ukupni manjak poslovanja za 2025. godinu  iznosi 141.434,40 eura. </w:t>
      </w:r>
    </w:p>
    <w:p w:rsidR="000833C6" w:rsidRDefault="00407484">
      <w:r>
        <w:lastRenderedPageBreak/>
        <w:t xml:space="preserve">Iskazani manjak poslovanja nastao je zbog dinamike provedbe aktivnosti po EU projektima za što je potrebno osigurati </w:t>
      </w:r>
      <w:proofErr w:type="spellStart"/>
      <w:r>
        <w:t>predfinanciranje</w:t>
      </w:r>
      <w:proofErr w:type="spellEnd"/>
      <w:r>
        <w:t xml:space="preserve"> iz Proračuna Koprivničko-križevačke županije, dok priljev sredstava prihoda po istima dolazi s  vremenskim odmakom nakon odobrenja Zahtjeva za nadoknadu sredstava.</w:t>
      </w:r>
    </w:p>
    <w:p w:rsidR="000833C6" w:rsidRDefault="000833C6"/>
    <w:p w:rsidR="000833C6" w:rsidRDefault="00407484">
      <w:pPr>
        <w:keepNext/>
        <w:spacing w:line="240" w:lineRule="auto"/>
        <w:jc w:val="center"/>
      </w:pPr>
      <w:r>
        <w:rPr>
          <w:b/>
          <w:sz w:val="28"/>
        </w:rPr>
        <w:t>Izvještaj o obvezama</w:t>
      </w:r>
    </w:p>
    <w:p w:rsidR="000833C6" w:rsidRDefault="00407484">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Iz</w:t>
            </w:r>
            <w:r>
              <w:rPr>
                <w:b/>
                <w:sz w:val="18"/>
              </w:rPr>
              <w:t>nos</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0833C6">
            <w:pPr>
              <w:keepNext/>
              <w:keepLines/>
              <w:spacing w:after="0" w:line="240" w:lineRule="auto"/>
            </w:pPr>
          </w:p>
        </w:tc>
        <w:tc>
          <w:tcPr>
            <w:tcW w:w="3180" w:type="dxa"/>
            <w:tcMar>
              <w:top w:w="0" w:type="dxa"/>
              <w:bottom w:w="0" w:type="dxa"/>
            </w:tcMar>
            <w:vAlign w:val="center"/>
          </w:tcPr>
          <w:p w:rsidR="000833C6" w:rsidRDefault="00407484">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0833C6" w:rsidRDefault="00407484">
            <w:pPr>
              <w:keepNext/>
              <w:keepLines/>
              <w:spacing w:after="0" w:line="240" w:lineRule="auto"/>
            </w:pPr>
            <w:r>
              <w:rPr>
                <w:sz w:val="18"/>
              </w:rPr>
              <w:t>V007</w:t>
            </w:r>
          </w:p>
        </w:tc>
        <w:tc>
          <w:tcPr>
            <w:tcW w:w="1860" w:type="dxa"/>
            <w:tcMar>
              <w:top w:w="0" w:type="dxa"/>
              <w:bottom w:w="0" w:type="dxa"/>
            </w:tcMar>
            <w:vAlign w:val="center"/>
          </w:tcPr>
          <w:p w:rsidR="000833C6" w:rsidRDefault="00407484">
            <w:pPr>
              <w:keepNext/>
              <w:keepLines/>
              <w:spacing w:after="0" w:line="240" w:lineRule="auto"/>
              <w:jc w:val="right"/>
            </w:pPr>
            <w:r>
              <w:rPr>
                <w:sz w:val="18"/>
              </w:rPr>
              <w:t>0,00</w:t>
            </w:r>
          </w:p>
        </w:tc>
        <w:tc>
          <w:tcPr>
            <w:tcW w:w="700" w:type="dxa"/>
            <w:tcMar>
              <w:top w:w="0" w:type="dxa"/>
              <w:bottom w:w="0" w:type="dxa"/>
            </w:tcMar>
            <w:vAlign w:val="center"/>
          </w:tcPr>
          <w:p w:rsidR="000833C6" w:rsidRDefault="00407484">
            <w:pPr>
              <w:keepNext/>
              <w:keepLines/>
              <w:spacing w:after="0" w:line="240" w:lineRule="auto"/>
              <w:jc w:val="right"/>
            </w:pPr>
            <w:r>
              <w:rPr>
                <w:sz w:val="18"/>
              </w:rPr>
              <w:t>-</w:t>
            </w:r>
          </w:p>
        </w:tc>
      </w:tr>
    </w:tbl>
    <w:p w:rsidR="000833C6" w:rsidRDefault="000833C6">
      <w:pPr>
        <w:spacing w:after="0"/>
      </w:pPr>
    </w:p>
    <w:p w:rsidR="000833C6" w:rsidRDefault="00407484">
      <w:r>
        <w:t>Na kraju izvještajnog razdoblja nije bilo dospjelih obveza.</w:t>
      </w:r>
    </w:p>
    <w:p w:rsidR="000833C6" w:rsidRDefault="00407484">
      <w:r>
        <w:t> </w:t>
      </w:r>
    </w:p>
    <w:p w:rsidR="000833C6" w:rsidRDefault="000833C6"/>
    <w:p w:rsidR="000833C6" w:rsidRDefault="00407484">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833C6">
        <w:tblPrEx>
          <w:tblCellMar>
            <w:top w:w="0" w:type="dxa"/>
            <w:bottom w:w="0" w:type="dxa"/>
          </w:tblCellMar>
        </w:tblPrEx>
        <w:trPr>
          <w:cantSplit/>
        </w:trPr>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833C6" w:rsidRDefault="00407484">
            <w:pPr>
              <w:keepNext/>
              <w:keepLines/>
              <w:spacing w:after="0" w:line="240" w:lineRule="auto"/>
              <w:jc w:val="center"/>
            </w:pPr>
            <w:r>
              <w:rPr>
                <w:b/>
                <w:sz w:val="18"/>
              </w:rPr>
              <w:t>Indeks</w:t>
            </w:r>
            <w:r>
              <w:rPr>
                <w:b/>
                <w:sz w:val="18"/>
              </w:rPr>
              <w:t xml:space="preserve"> (%)</w:t>
            </w:r>
          </w:p>
        </w:tc>
      </w:tr>
      <w:tr w:rsidR="000833C6">
        <w:tblPrEx>
          <w:tblCellMar>
            <w:top w:w="0" w:type="dxa"/>
            <w:bottom w:w="0" w:type="dxa"/>
          </w:tblCellMar>
        </w:tblPrEx>
        <w:trPr>
          <w:cantSplit/>
          <w:trHeight w:val="560"/>
        </w:trPr>
        <w:tc>
          <w:tcPr>
            <w:tcW w:w="700" w:type="dxa"/>
            <w:tcMar>
              <w:top w:w="0" w:type="dxa"/>
              <w:bottom w:w="0" w:type="dxa"/>
            </w:tcMar>
            <w:vAlign w:val="center"/>
          </w:tcPr>
          <w:p w:rsidR="000833C6" w:rsidRDefault="000833C6">
            <w:pPr>
              <w:keepNext/>
              <w:keepLines/>
              <w:spacing w:after="0" w:line="240" w:lineRule="auto"/>
            </w:pPr>
          </w:p>
        </w:tc>
        <w:tc>
          <w:tcPr>
            <w:tcW w:w="3180" w:type="dxa"/>
            <w:tcMar>
              <w:top w:w="0" w:type="dxa"/>
              <w:bottom w:w="0" w:type="dxa"/>
            </w:tcMar>
            <w:vAlign w:val="center"/>
          </w:tcPr>
          <w:p w:rsidR="000833C6" w:rsidRDefault="00407484">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0833C6" w:rsidRDefault="00407484">
            <w:pPr>
              <w:keepNext/>
              <w:keepLines/>
              <w:spacing w:after="0" w:line="240" w:lineRule="auto"/>
            </w:pPr>
            <w:r>
              <w:rPr>
                <w:sz w:val="18"/>
              </w:rPr>
              <w:t>V009</w:t>
            </w:r>
          </w:p>
        </w:tc>
        <w:tc>
          <w:tcPr>
            <w:tcW w:w="1860" w:type="dxa"/>
            <w:tcMar>
              <w:top w:w="0" w:type="dxa"/>
              <w:bottom w:w="0" w:type="dxa"/>
            </w:tcMar>
            <w:vAlign w:val="center"/>
          </w:tcPr>
          <w:p w:rsidR="000833C6" w:rsidRDefault="00407484">
            <w:pPr>
              <w:keepNext/>
              <w:keepLines/>
              <w:spacing w:after="0" w:line="240" w:lineRule="auto"/>
              <w:jc w:val="right"/>
            </w:pPr>
            <w:r>
              <w:rPr>
                <w:sz w:val="18"/>
              </w:rPr>
              <w:t>139.688,82</w:t>
            </w:r>
          </w:p>
        </w:tc>
        <w:tc>
          <w:tcPr>
            <w:tcW w:w="700" w:type="dxa"/>
            <w:tcMar>
              <w:top w:w="0" w:type="dxa"/>
              <w:bottom w:w="0" w:type="dxa"/>
            </w:tcMar>
            <w:vAlign w:val="center"/>
          </w:tcPr>
          <w:p w:rsidR="000833C6" w:rsidRDefault="00407484">
            <w:pPr>
              <w:keepNext/>
              <w:keepLines/>
              <w:spacing w:after="0" w:line="240" w:lineRule="auto"/>
              <w:jc w:val="right"/>
            </w:pPr>
            <w:r>
              <w:rPr>
                <w:sz w:val="18"/>
              </w:rPr>
              <w:t>-</w:t>
            </w:r>
          </w:p>
        </w:tc>
      </w:tr>
    </w:tbl>
    <w:p w:rsidR="000833C6" w:rsidRDefault="000833C6">
      <w:pPr>
        <w:spacing w:after="0"/>
      </w:pPr>
    </w:p>
    <w:p w:rsidR="000833C6" w:rsidRDefault="00407484">
      <w:r>
        <w:t>Stanje obveza 01.01.2025. godine iznosi 74.587,19 eura.</w:t>
      </w:r>
    </w:p>
    <w:p w:rsidR="000833C6" w:rsidRDefault="00407484">
      <w:r>
        <w:t>Povećanje obveza u izvještajnom razdoblju iznosi 967.600,89 eura.</w:t>
      </w:r>
    </w:p>
    <w:p w:rsidR="000833C6" w:rsidRDefault="00407484">
      <w:r>
        <w:t>Podmirene obveze u izvještajnom razdoblju iznose 902.499,26 eura.</w:t>
      </w:r>
    </w:p>
    <w:p w:rsidR="000833C6" w:rsidRDefault="00407484">
      <w:r>
        <w:t>Stanje obveza na kraju izvještajnog razdoblja na dan 31.12.2025. godine iznosi 139.688,82 eura što predstavlja stanje nedosp</w:t>
      </w:r>
      <w:r>
        <w:t>jelih obveza na kraju izvještajnog razdoblja.  </w:t>
      </w:r>
    </w:p>
    <w:p w:rsidR="000833C6" w:rsidRDefault="00407484">
      <w:r>
        <w:t>Od toga međusobne obveze subjekata općeg proračuna iznose 79.357,52 eura, a obveze za rashode poslovanja 60.331,30 eura. Sve otvorene obveze s 31.12.2025. podmirene su u siječnju 2026. godine te su sukladne r</w:t>
      </w:r>
      <w:r>
        <w:t>edovnom poslovanju.  </w:t>
      </w:r>
    </w:p>
    <w:p w:rsidR="000833C6" w:rsidRDefault="00407484">
      <w:r>
        <w:t>Sva primljena jamstva u vidu primljenih bjanko zadužnica su vraćena nakon uredno izvršenih ugovora.</w:t>
      </w:r>
    </w:p>
    <w:p w:rsidR="000833C6" w:rsidRDefault="000833C6"/>
    <w:p w:rsidR="000833C6" w:rsidRDefault="00407484">
      <w:pPr>
        <w:keepNext/>
        <w:spacing w:line="240" w:lineRule="auto"/>
        <w:jc w:val="center"/>
      </w:pPr>
      <w:r>
        <w:rPr>
          <w:sz w:val="28"/>
        </w:rPr>
        <w:t>Bilješka 14.</w:t>
      </w:r>
    </w:p>
    <w:p w:rsidR="000833C6" w:rsidRDefault="00407484">
      <w:pPr>
        <w:spacing w:line="240" w:lineRule="auto"/>
        <w:jc w:val="both"/>
      </w:pPr>
      <w:r>
        <w:rPr>
          <w:b/>
        </w:rPr>
        <w:t>EU izvještaj</w:t>
      </w:r>
    </w:p>
    <w:p w:rsidR="000833C6" w:rsidRDefault="00407484">
      <w:r>
        <w:t>Zaprimljena sredstva pomoći od institucija i tijela EU u skladu su sa sklopljenim Ugovorima o provedbi EU p</w:t>
      </w:r>
      <w:r>
        <w:t xml:space="preserve">rojekata u kojima je PORA Regionalna razvojna agencija Koprivničko-križevačke županije partner, a odnose se na projekte „Europe </w:t>
      </w:r>
      <w:proofErr w:type="spellStart"/>
      <w:r>
        <w:t>Direct</w:t>
      </w:r>
      <w:proofErr w:type="spellEnd"/>
      <w:r>
        <w:t xml:space="preserve"> Koprivničko-križevačke županije“; „TOURBO - Usmjeravanje mikro, malih i srednjih poduzetnika (MSP-ova) prema </w:t>
      </w:r>
      <w:r>
        <w:lastRenderedPageBreak/>
        <w:t>digitalnoj i</w:t>
      </w:r>
      <w:r>
        <w:t xml:space="preserve"> zelenoj tranziciji u turizmu u Koprivničko-križevačkoj županiji“, „BFC - </w:t>
      </w:r>
      <w:proofErr w:type="spellStart"/>
      <w:r>
        <w:t>BioFarms</w:t>
      </w:r>
      <w:proofErr w:type="spellEnd"/>
      <w:r>
        <w:t xml:space="preserve"> </w:t>
      </w:r>
      <w:proofErr w:type="spellStart"/>
      <w:r>
        <w:t>Cluster</w:t>
      </w:r>
      <w:proofErr w:type="spellEnd"/>
      <w:r>
        <w:t>“ (skupina konta 6323)  te prate dinamiku provedbe projekata i isplate sredstava po podnesenim i odobrenim Zahtjevima za nadoknadu sredstava.</w:t>
      </w:r>
    </w:p>
    <w:p w:rsidR="000833C6" w:rsidRDefault="00407484">
      <w:r>
        <w:t>Sukladno Sporazumu o dod</w:t>
      </w:r>
      <w:r>
        <w:t>jeli bespovratnih sredstava u provedbi jačanja kapaciteta na regionalnoj i lokalnoj razini za korištenje sredstava EU fondova Ministarstva regionalnoga razvoja i fondova EU i dinamici isplate sredstava po istome, zaprimljena su sredstva  za 3. i 4. obrok t</w:t>
      </w:r>
      <w:r>
        <w:t xml:space="preserve">e je time Ugovor okončan. Na skupinu konta prihoda 6381 spada i Ugovor „Obnova Doma kulture </w:t>
      </w:r>
      <w:proofErr w:type="spellStart"/>
      <w:r>
        <w:t>Pajo</w:t>
      </w:r>
      <w:proofErr w:type="spellEnd"/>
      <w:r>
        <w:t xml:space="preserve"> </w:t>
      </w:r>
      <w:proofErr w:type="spellStart"/>
      <w:r>
        <w:t>Kanižaj</w:t>
      </w:r>
      <w:proofErr w:type="spellEnd"/>
      <w:r>
        <w:t xml:space="preserve"> u </w:t>
      </w:r>
      <w:proofErr w:type="spellStart"/>
      <w:r>
        <w:t>Đelekovcu</w:t>
      </w:r>
      <w:proofErr w:type="spellEnd"/>
      <w:r>
        <w:t>“. </w:t>
      </w:r>
    </w:p>
    <w:p w:rsidR="000833C6" w:rsidRDefault="00407484">
      <w:r>
        <w:t>Skupina konta 6711 i 6712 predstavlja isplatu za sufinancirani dio projekata prema Ugovorima.</w:t>
      </w:r>
    </w:p>
    <w:p w:rsidR="000833C6" w:rsidRDefault="00407484">
      <w:r>
        <w:t xml:space="preserve">Rashodi po EU projektima su razvrstani po </w:t>
      </w:r>
      <w:r>
        <w:t>skupinama konta i upisani u obrazac te čine ukupni rashod po projektu zajedno sa sufinanciranim dijelom. </w:t>
      </w:r>
    </w:p>
    <w:p w:rsidR="000833C6" w:rsidRDefault="00407484">
      <w:r>
        <w:t> </w:t>
      </w:r>
    </w:p>
    <w:p w:rsidR="000833C6" w:rsidRDefault="00407484">
      <w:r>
        <w:t> </w:t>
      </w:r>
    </w:p>
    <w:p w:rsidR="000833C6" w:rsidRDefault="00407484">
      <w:r>
        <w:t> </w:t>
      </w:r>
    </w:p>
    <w:p w:rsidR="000833C6" w:rsidRDefault="00407484">
      <w:r>
        <w:t> </w:t>
      </w:r>
    </w:p>
    <w:p w:rsidR="000833C6" w:rsidRDefault="00407484">
      <w:r>
        <w:t> </w:t>
      </w:r>
    </w:p>
    <w:p w:rsidR="000833C6" w:rsidRDefault="000833C6"/>
    <w:sectPr w:rsidR="00083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C6"/>
    <w:rsid w:val="000833C6"/>
    <w:rsid w:val="004074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6F276-DF1A-4EE2-A72E-601BA0F0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9025</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IVAMARK</cp:lastModifiedBy>
  <cp:revision>2</cp:revision>
  <dcterms:created xsi:type="dcterms:W3CDTF">2026-02-02T07:54:00Z</dcterms:created>
  <dcterms:modified xsi:type="dcterms:W3CDTF">2026-02-02T07:54:00Z</dcterms:modified>
</cp:coreProperties>
</file>