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F74A" w14:textId="424334DE" w:rsidR="00855581" w:rsidRPr="00E721E2" w:rsidRDefault="00803102" w:rsidP="00803102">
      <w:pPr>
        <w:pStyle w:val="BodyText"/>
        <w:spacing w:after="0" w:line="240" w:lineRule="auto"/>
        <w:jc w:val="both"/>
        <w:rPr>
          <w:rFonts w:ascii="Times New Roman" w:eastAsia="Times New Roman" w:hAnsi="Times New Roman" w:cs="Times New Roman"/>
          <w:sz w:val="24"/>
          <w:szCs w:val="24"/>
        </w:rPr>
      </w:pPr>
      <w:bookmarkStart w:id="0" w:name="_Toc46472273"/>
      <w:bookmarkStart w:id="1" w:name="_Hlk107914020"/>
      <w:r w:rsidRPr="00E721E2">
        <w:rPr>
          <w:rFonts w:ascii="Times New Roman" w:hAnsi="Times New Roman" w:cs="Times New Roman"/>
          <w:sz w:val="24"/>
          <w:szCs w:val="24"/>
        </w:rPr>
        <w:t xml:space="preserve">Na temelju članaka 81. i 86. Zakona o proračunu („Narodne novine“ broj 144/21.) i članka </w:t>
      </w:r>
      <w:r w:rsidRPr="00E721E2">
        <w:rPr>
          <w:rFonts w:ascii="Times New Roman" w:eastAsia="Times New Roman" w:hAnsi="Times New Roman" w:cs="Times New Roman"/>
          <w:sz w:val="24"/>
          <w:szCs w:val="24"/>
        </w:rPr>
        <w:t xml:space="preserve">19.  Statuta PORE Regionalne razvojne agencije Koprivničko-križevačke županije KLASA: 021-01/07-01/01, URBROJ: 2137-25-07-02, KLASA: 021-06/09-01/01, URBROJ: 2137-25-09-02, KLASA: 021-06/11-01/01, URBROJ: 2137-25-11-03 od 19. rujna 2011., KLASA: 021-06/11-01/01, URBROJ: 2137-25-11-03 od 29. prosinca 2011, KLASA: 021-06/12-01/01, URBROJ: 2137-25-12-03, KLASA: 021-06/13-01/11, URBROJ: 2137-25-13-05, KLASA: 021-06/14-01/07, URBROJ: 2137-25-14-03, KLASA: 021-06/15-01/08, URBROJ: 2137-25-15-03, KLASA: 021-06/18-01/12, URBROJ: 2137-25-18-05 Upravno vijeće PORE Regionalne </w:t>
      </w:r>
      <w:r w:rsidRPr="00C519D0">
        <w:rPr>
          <w:rFonts w:ascii="Times New Roman" w:eastAsia="Times New Roman" w:hAnsi="Times New Roman" w:cs="Times New Roman"/>
          <w:sz w:val="24"/>
          <w:szCs w:val="24"/>
        </w:rPr>
        <w:t xml:space="preserve">razvojne agencije Koprivničko-križevačke županije na </w:t>
      </w:r>
      <w:r w:rsidR="00C519D0" w:rsidRPr="00C519D0">
        <w:rPr>
          <w:rFonts w:ascii="Times New Roman" w:eastAsia="Times New Roman" w:hAnsi="Times New Roman" w:cs="Times New Roman"/>
          <w:sz w:val="24"/>
          <w:szCs w:val="24"/>
        </w:rPr>
        <w:t>54</w:t>
      </w:r>
      <w:r w:rsidRPr="00C519D0">
        <w:rPr>
          <w:rFonts w:ascii="Times New Roman" w:eastAsia="Times New Roman" w:hAnsi="Times New Roman" w:cs="Times New Roman"/>
          <w:sz w:val="24"/>
          <w:szCs w:val="24"/>
        </w:rPr>
        <w:t xml:space="preserve">. sjednici </w:t>
      </w:r>
      <w:r w:rsidRPr="00290DB9">
        <w:rPr>
          <w:rFonts w:ascii="Times New Roman" w:eastAsia="Times New Roman" w:hAnsi="Times New Roman" w:cs="Times New Roman"/>
          <w:sz w:val="24"/>
          <w:szCs w:val="24"/>
        </w:rPr>
        <w:t xml:space="preserve">održanoj </w:t>
      </w:r>
      <w:r w:rsidR="000F059C" w:rsidRPr="00290DB9">
        <w:rPr>
          <w:rFonts w:ascii="Times New Roman" w:eastAsia="Times New Roman" w:hAnsi="Times New Roman" w:cs="Times New Roman"/>
          <w:sz w:val="24"/>
          <w:szCs w:val="24"/>
        </w:rPr>
        <w:t>2</w:t>
      </w:r>
      <w:r w:rsidR="00290DB9" w:rsidRPr="00290DB9">
        <w:rPr>
          <w:rFonts w:ascii="Times New Roman" w:eastAsia="Times New Roman" w:hAnsi="Times New Roman" w:cs="Times New Roman"/>
          <w:sz w:val="24"/>
          <w:szCs w:val="24"/>
        </w:rPr>
        <w:t>7</w:t>
      </w:r>
      <w:r w:rsidRPr="00290DB9">
        <w:rPr>
          <w:rFonts w:ascii="Times New Roman" w:eastAsia="Times New Roman" w:hAnsi="Times New Roman" w:cs="Times New Roman"/>
          <w:sz w:val="24"/>
          <w:szCs w:val="24"/>
        </w:rPr>
        <w:t xml:space="preserve">. </w:t>
      </w:r>
      <w:r w:rsidR="00C519D0" w:rsidRPr="00C519D0">
        <w:rPr>
          <w:rFonts w:ascii="Times New Roman" w:eastAsia="Times New Roman" w:hAnsi="Times New Roman" w:cs="Times New Roman"/>
          <w:sz w:val="24"/>
          <w:szCs w:val="24"/>
        </w:rPr>
        <w:t>veljače</w:t>
      </w:r>
      <w:r w:rsidRPr="00C519D0">
        <w:rPr>
          <w:rFonts w:ascii="Times New Roman" w:eastAsia="Times New Roman" w:hAnsi="Times New Roman" w:cs="Times New Roman"/>
          <w:sz w:val="24"/>
          <w:szCs w:val="24"/>
        </w:rPr>
        <w:t xml:space="preserve"> 202</w:t>
      </w:r>
      <w:r w:rsidR="00C519D0" w:rsidRPr="00C519D0">
        <w:rPr>
          <w:rFonts w:ascii="Times New Roman" w:eastAsia="Times New Roman" w:hAnsi="Times New Roman" w:cs="Times New Roman"/>
          <w:sz w:val="24"/>
          <w:szCs w:val="24"/>
        </w:rPr>
        <w:t>5</w:t>
      </w:r>
      <w:r w:rsidRPr="00C519D0">
        <w:rPr>
          <w:rFonts w:ascii="Times New Roman" w:eastAsia="Times New Roman" w:hAnsi="Times New Roman" w:cs="Times New Roman"/>
          <w:sz w:val="24"/>
          <w:szCs w:val="24"/>
        </w:rPr>
        <w:t>.</w:t>
      </w:r>
      <w:r w:rsidRPr="00E721E2">
        <w:rPr>
          <w:rFonts w:ascii="Times New Roman" w:eastAsia="Times New Roman" w:hAnsi="Times New Roman" w:cs="Times New Roman"/>
          <w:sz w:val="24"/>
          <w:szCs w:val="24"/>
        </w:rPr>
        <w:t xml:space="preserve"> godine donosi   </w:t>
      </w:r>
    </w:p>
    <w:p w14:paraId="525DB728" w14:textId="77777777" w:rsidR="00912972" w:rsidRPr="00E721E2" w:rsidRDefault="00912972" w:rsidP="00803102">
      <w:pPr>
        <w:pStyle w:val="BodyText"/>
        <w:spacing w:after="0" w:line="240" w:lineRule="auto"/>
        <w:jc w:val="both"/>
        <w:rPr>
          <w:rFonts w:ascii="Times New Roman" w:eastAsia="Times New Roman" w:hAnsi="Times New Roman" w:cs="Times New Roman"/>
          <w:sz w:val="24"/>
          <w:szCs w:val="24"/>
        </w:rPr>
      </w:pPr>
    </w:p>
    <w:p w14:paraId="6B1E5C7A" w14:textId="7C4A5D8D" w:rsidR="00803102" w:rsidRPr="00E721E2" w:rsidRDefault="005A52E5" w:rsidP="00803102">
      <w:pPr>
        <w:pStyle w:val="BodyText"/>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IZVJEŠĆE O RADU I</w:t>
      </w:r>
      <w:r w:rsidR="009005FF" w:rsidRPr="00E721E2">
        <w:rPr>
          <w:rFonts w:ascii="Times New Roman" w:eastAsia="Times New Roman" w:hAnsi="Times New Roman" w:cs="Times New Roman"/>
          <w:b/>
          <w:bCs/>
          <w:sz w:val="28"/>
          <w:szCs w:val="28"/>
        </w:rPr>
        <w:t xml:space="preserve"> </w:t>
      </w:r>
      <w:r w:rsidR="00803102" w:rsidRPr="00E721E2">
        <w:rPr>
          <w:rFonts w:ascii="Times New Roman" w:eastAsia="Times New Roman" w:hAnsi="Times New Roman" w:cs="Times New Roman"/>
          <w:b/>
          <w:bCs/>
          <w:sz w:val="28"/>
          <w:szCs w:val="28"/>
        </w:rPr>
        <w:t>IZVRŠENJU FINANCIJSKOG PLANA</w:t>
      </w:r>
    </w:p>
    <w:p w14:paraId="06CEA9A9" w14:textId="37AA071D" w:rsidR="00803102" w:rsidRPr="00E721E2" w:rsidRDefault="00803102" w:rsidP="00803102">
      <w:pPr>
        <w:pStyle w:val="BodyText"/>
        <w:spacing w:after="0" w:line="240" w:lineRule="auto"/>
        <w:jc w:val="center"/>
        <w:rPr>
          <w:rFonts w:ascii="Times New Roman" w:eastAsia="Times New Roman" w:hAnsi="Times New Roman" w:cs="Times New Roman"/>
          <w:b/>
          <w:bCs/>
          <w:sz w:val="28"/>
          <w:szCs w:val="28"/>
        </w:rPr>
      </w:pPr>
      <w:r w:rsidRPr="00E721E2">
        <w:rPr>
          <w:rFonts w:ascii="Times New Roman" w:eastAsia="Times New Roman" w:hAnsi="Times New Roman" w:cs="Times New Roman"/>
          <w:b/>
          <w:bCs/>
          <w:sz w:val="28"/>
          <w:szCs w:val="28"/>
        </w:rPr>
        <w:t xml:space="preserve">PORE REGIONALNE RAZVOJNE AGENCIJE KOPRIVNIČKO-KRIŽEVAČKE ŽUPANIJE ZA </w:t>
      </w:r>
      <w:r w:rsidR="00C06DE6" w:rsidRPr="00E721E2">
        <w:rPr>
          <w:rFonts w:ascii="Times New Roman" w:eastAsia="Times New Roman" w:hAnsi="Times New Roman" w:cs="Times New Roman"/>
          <w:b/>
          <w:bCs/>
          <w:sz w:val="28"/>
          <w:szCs w:val="28"/>
        </w:rPr>
        <w:t>2</w:t>
      </w:r>
      <w:r w:rsidRPr="00E721E2">
        <w:rPr>
          <w:rFonts w:ascii="Times New Roman" w:eastAsia="Times New Roman" w:hAnsi="Times New Roman" w:cs="Times New Roman"/>
          <w:b/>
          <w:bCs/>
          <w:sz w:val="28"/>
          <w:szCs w:val="28"/>
        </w:rPr>
        <w:t>02</w:t>
      </w:r>
      <w:r w:rsidR="00213F11" w:rsidRPr="00E721E2">
        <w:rPr>
          <w:rFonts w:ascii="Times New Roman" w:eastAsia="Times New Roman" w:hAnsi="Times New Roman" w:cs="Times New Roman"/>
          <w:b/>
          <w:bCs/>
          <w:sz w:val="28"/>
          <w:szCs w:val="28"/>
        </w:rPr>
        <w:t>4</w:t>
      </w:r>
      <w:r w:rsidRPr="00E721E2">
        <w:rPr>
          <w:rFonts w:ascii="Times New Roman" w:eastAsia="Times New Roman" w:hAnsi="Times New Roman" w:cs="Times New Roman"/>
          <w:b/>
          <w:bCs/>
          <w:sz w:val="28"/>
          <w:szCs w:val="28"/>
        </w:rPr>
        <w:t>. GODIN</w:t>
      </w:r>
      <w:r w:rsidR="005A52E5">
        <w:rPr>
          <w:rFonts w:ascii="Times New Roman" w:eastAsia="Times New Roman" w:hAnsi="Times New Roman" w:cs="Times New Roman"/>
          <w:b/>
          <w:bCs/>
          <w:sz w:val="28"/>
          <w:szCs w:val="28"/>
        </w:rPr>
        <w:t>U</w:t>
      </w:r>
    </w:p>
    <w:p w14:paraId="414F7D41" w14:textId="77777777" w:rsidR="00803102" w:rsidRPr="00E721E2" w:rsidRDefault="00803102" w:rsidP="00803102">
      <w:pPr>
        <w:pStyle w:val="BodyText"/>
        <w:spacing w:after="0" w:line="240" w:lineRule="auto"/>
        <w:jc w:val="center"/>
        <w:rPr>
          <w:rFonts w:ascii="Times New Roman" w:eastAsia="Times New Roman" w:hAnsi="Times New Roman" w:cs="Times New Roman"/>
          <w:b/>
          <w:bCs/>
          <w:sz w:val="24"/>
          <w:szCs w:val="24"/>
        </w:rPr>
      </w:pPr>
    </w:p>
    <w:p w14:paraId="25AFA746" w14:textId="77777777" w:rsidR="00912972" w:rsidRPr="00E721E2" w:rsidRDefault="00912972" w:rsidP="00803102">
      <w:pPr>
        <w:pStyle w:val="BodyText"/>
        <w:spacing w:after="0" w:line="240" w:lineRule="auto"/>
        <w:jc w:val="center"/>
        <w:rPr>
          <w:rFonts w:ascii="Times New Roman" w:eastAsia="Times New Roman" w:hAnsi="Times New Roman" w:cs="Times New Roman"/>
          <w:b/>
          <w:bCs/>
          <w:sz w:val="24"/>
          <w:szCs w:val="24"/>
        </w:rPr>
      </w:pPr>
    </w:p>
    <w:p w14:paraId="3BB5465D" w14:textId="271C4C5D" w:rsidR="00803102" w:rsidRPr="00E721E2" w:rsidRDefault="00213F11" w:rsidP="00803102">
      <w:pPr>
        <w:pStyle w:val="BodyText"/>
        <w:spacing w:after="0" w:line="240" w:lineRule="auto"/>
        <w:jc w:val="center"/>
        <w:rPr>
          <w:rFonts w:ascii="Times New Roman" w:eastAsia="Times New Roman" w:hAnsi="Times New Roman" w:cs="Times New Roman"/>
          <w:sz w:val="24"/>
          <w:szCs w:val="24"/>
        </w:rPr>
      </w:pPr>
      <w:r w:rsidRPr="00E721E2">
        <w:rPr>
          <w:rFonts w:ascii="Times New Roman" w:eastAsia="Times New Roman" w:hAnsi="Times New Roman" w:cs="Times New Roman"/>
          <w:sz w:val="24"/>
          <w:szCs w:val="24"/>
        </w:rPr>
        <w:t>Č</w:t>
      </w:r>
      <w:r w:rsidR="00803102" w:rsidRPr="00E721E2">
        <w:rPr>
          <w:rFonts w:ascii="Times New Roman" w:eastAsia="Times New Roman" w:hAnsi="Times New Roman" w:cs="Times New Roman"/>
          <w:sz w:val="24"/>
          <w:szCs w:val="24"/>
        </w:rPr>
        <w:t>lanak 1.</w:t>
      </w:r>
    </w:p>
    <w:p w14:paraId="08963B8B" w14:textId="77777777" w:rsidR="00855581" w:rsidRPr="00E721E2" w:rsidRDefault="00855581" w:rsidP="00803102">
      <w:pPr>
        <w:pStyle w:val="BodyText"/>
        <w:spacing w:after="0" w:line="240" w:lineRule="auto"/>
        <w:jc w:val="center"/>
        <w:rPr>
          <w:rFonts w:ascii="Times New Roman" w:eastAsia="Times New Roman" w:hAnsi="Times New Roman" w:cs="Times New Roman"/>
          <w:sz w:val="24"/>
          <w:szCs w:val="24"/>
        </w:rPr>
      </w:pPr>
    </w:p>
    <w:p w14:paraId="5DE2FBDC" w14:textId="191B2762" w:rsidR="00803102" w:rsidRDefault="00803102" w:rsidP="00803102">
      <w:pPr>
        <w:pStyle w:val="BodyText"/>
        <w:spacing w:after="0" w:line="240" w:lineRule="auto"/>
        <w:jc w:val="both"/>
        <w:rPr>
          <w:rFonts w:ascii="Times New Roman" w:eastAsia="Times New Roman" w:hAnsi="Times New Roman" w:cs="Times New Roman"/>
          <w:sz w:val="24"/>
          <w:szCs w:val="24"/>
        </w:rPr>
      </w:pPr>
      <w:r w:rsidRPr="00E721E2">
        <w:rPr>
          <w:rFonts w:ascii="Times New Roman" w:eastAsia="Times New Roman" w:hAnsi="Times New Roman" w:cs="Times New Roman"/>
          <w:sz w:val="24"/>
          <w:szCs w:val="24"/>
        </w:rPr>
        <w:t>Financijski plan PORE Regionalne razvojne agencije Koprivničko-križevačke županije za 202</w:t>
      </w:r>
      <w:r w:rsidR="00213F11" w:rsidRPr="00E721E2">
        <w:rPr>
          <w:rFonts w:ascii="Times New Roman" w:eastAsia="Times New Roman" w:hAnsi="Times New Roman" w:cs="Times New Roman"/>
          <w:sz w:val="24"/>
          <w:szCs w:val="24"/>
        </w:rPr>
        <w:t>4</w:t>
      </w:r>
      <w:r w:rsidRPr="00E721E2">
        <w:rPr>
          <w:rFonts w:ascii="Times New Roman" w:eastAsia="Times New Roman" w:hAnsi="Times New Roman" w:cs="Times New Roman"/>
          <w:sz w:val="24"/>
          <w:szCs w:val="24"/>
        </w:rPr>
        <w:t>. godinu i projekcije za 202</w:t>
      </w:r>
      <w:r w:rsidR="00213F11" w:rsidRPr="00E721E2">
        <w:rPr>
          <w:rFonts w:ascii="Times New Roman" w:eastAsia="Times New Roman" w:hAnsi="Times New Roman" w:cs="Times New Roman"/>
          <w:sz w:val="24"/>
          <w:szCs w:val="24"/>
        </w:rPr>
        <w:t>5</w:t>
      </w:r>
      <w:r w:rsidRPr="00E721E2">
        <w:rPr>
          <w:rFonts w:ascii="Times New Roman" w:eastAsia="Times New Roman" w:hAnsi="Times New Roman" w:cs="Times New Roman"/>
          <w:sz w:val="24"/>
          <w:szCs w:val="24"/>
        </w:rPr>
        <w:t>. i 202</w:t>
      </w:r>
      <w:r w:rsidR="00213F11" w:rsidRPr="00E721E2">
        <w:rPr>
          <w:rFonts w:ascii="Times New Roman" w:eastAsia="Times New Roman" w:hAnsi="Times New Roman" w:cs="Times New Roman"/>
          <w:sz w:val="24"/>
          <w:szCs w:val="24"/>
        </w:rPr>
        <w:t>6</w:t>
      </w:r>
      <w:r w:rsidRPr="00E721E2">
        <w:rPr>
          <w:rFonts w:ascii="Times New Roman" w:eastAsia="Times New Roman" w:hAnsi="Times New Roman" w:cs="Times New Roman"/>
          <w:sz w:val="24"/>
          <w:szCs w:val="24"/>
        </w:rPr>
        <w:t>. godinu, u 202</w:t>
      </w:r>
      <w:r w:rsidR="00213F11" w:rsidRPr="00E721E2">
        <w:rPr>
          <w:rFonts w:ascii="Times New Roman" w:eastAsia="Times New Roman" w:hAnsi="Times New Roman" w:cs="Times New Roman"/>
          <w:sz w:val="24"/>
          <w:szCs w:val="24"/>
        </w:rPr>
        <w:t>4</w:t>
      </w:r>
      <w:r w:rsidRPr="00E721E2">
        <w:rPr>
          <w:rFonts w:ascii="Times New Roman" w:eastAsia="Times New Roman" w:hAnsi="Times New Roman" w:cs="Times New Roman"/>
          <w:sz w:val="24"/>
          <w:szCs w:val="24"/>
        </w:rPr>
        <w:t>. godini ostvaren</w:t>
      </w:r>
      <w:r w:rsidR="00C750DD" w:rsidRPr="00E721E2">
        <w:rPr>
          <w:rFonts w:ascii="Times New Roman" w:eastAsia="Times New Roman" w:hAnsi="Times New Roman" w:cs="Times New Roman"/>
          <w:sz w:val="24"/>
          <w:szCs w:val="24"/>
        </w:rPr>
        <w:t xml:space="preserve"> je</w:t>
      </w:r>
      <w:r w:rsidRPr="00E721E2">
        <w:rPr>
          <w:rFonts w:ascii="Times New Roman" w:eastAsia="Times New Roman" w:hAnsi="Times New Roman" w:cs="Times New Roman"/>
          <w:sz w:val="24"/>
          <w:szCs w:val="24"/>
        </w:rPr>
        <w:t xml:space="preserve"> kako slijedi:</w:t>
      </w:r>
    </w:p>
    <w:p w14:paraId="3B9E7605" w14:textId="77777777" w:rsidR="00C519D0" w:rsidRDefault="00C519D0" w:rsidP="00803102">
      <w:pPr>
        <w:pStyle w:val="BodyText"/>
        <w:spacing w:after="0" w:line="240" w:lineRule="auto"/>
        <w:jc w:val="both"/>
        <w:rPr>
          <w:rFonts w:ascii="Times New Roman" w:eastAsia="Times New Roman" w:hAnsi="Times New Roman" w:cs="Times New Roman"/>
          <w:sz w:val="24"/>
          <w:szCs w:val="24"/>
        </w:rPr>
      </w:pPr>
    </w:p>
    <w:p w14:paraId="487DCEEA" w14:textId="7772A173" w:rsidR="00C519D0" w:rsidRPr="00C519D0" w:rsidRDefault="00C519D0" w:rsidP="00C519D0">
      <w:pPr>
        <w:pStyle w:val="BodyText"/>
        <w:spacing w:after="0" w:line="240" w:lineRule="auto"/>
        <w:jc w:val="center"/>
        <w:rPr>
          <w:rFonts w:ascii="Times New Roman" w:eastAsia="Times New Roman" w:hAnsi="Times New Roman" w:cs="Times New Roman"/>
          <w:b/>
          <w:bCs/>
          <w:sz w:val="24"/>
          <w:szCs w:val="24"/>
        </w:rPr>
      </w:pPr>
      <w:r w:rsidRPr="00C519D0">
        <w:rPr>
          <w:rFonts w:ascii="Times New Roman" w:eastAsia="Times New Roman" w:hAnsi="Times New Roman" w:cs="Times New Roman"/>
          <w:b/>
          <w:bCs/>
          <w:sz w:val="24"/>
          <w:szCs w:val="24"/>
        </w:rPr>
        <w:t>GODIŠNJI IZVJEŠTAJ O IZVRŠENJU FINANCIJSKOG PLANA ZA 2024. GODINU</w:t>
      </w:r>
    </w:p>
    <w:p w14:paraId="5EEF9357" w14:textId="77777777" w:rsidR="00C519D0" w:rsidRDefault="00C519D0" w:rsidP="00803102">
      <w:pPr>
        <w:pStyle w:val="BodyText"/>
        <w:spacing w:after="0" w:line="240" w:lineRule="auto"/>
        <w:jc w:val="both"/>
        <w:rPr>
          <w:rFonts w:ascii="Times New Roman" w:eastAsia="Times New Roman" w:hAnsi="Times New Roman" w:cs="Times New Roman"/>
          <w:sz w:val="24"/>
          <w:szCs w:val="24"/>
        </w:rPr>
      </w:pPr>
    </w:p>
    <w:p w14:paraId="787761D4" w14:textId="4A9F5E40" w:rsidR="00C519D0" w:rsidRDefault="00C519D0" w:rsidP="00C519D0">
      <w:pPr>
        <w:pStyle w:val="BodyText"/>
        <w:spacing w:after="0" w:line="240" w:lineRule="auto"/>
        <w:jc w:val="center"/>
        <w:rPr>
          <w:rFonts w:ascii="Times New Roman" w:eastAsia="Times New Roman" w:hAnsi="Times New Roman" w:cs="Times New Roman"/>
          <w:b/>
          <w:bCs/>
          <w:sz w:val="24"/>
          <w:szCs w:val="24"/>
        </w:rPr>
      </w:pPr>
      <w:r w:rsidRPr="00C519D0">
        <w:rPr>
          <w:rFonts w:ascii="Times New Roman" w:eastAsia="Times New Roman" w:hAnsi="Times New Roman" w:cs="Times New Roman"/>
          <w:b/>
          <w:bCs/>
          <w:sz w:val="24"/>
          <w:szCs w:val="24"/>
        </w:rPr>
        <w:t>1. OPĆI DIO</w:t>
      </w:r>
    </w:p>
    <w:p w14:paraId="71126E24" w14:textId="77777777" w:rsidR="00C519D0" w:rsidRPr="00C519D0" w:rsidRDefault="00C519D0" w:rsidP="00C519D0">
      <w:pPr>
        <w:pStyle w:val="BodyText"/>
        <w:spacing w:after="0" w:line="240" w:lineRule="auto"/>
        <w:jc w:val="center"/>
        <w:rPr>
          <w:rFonts w:ascii="Times New Roman" w:eastAsia="Times New Roman" w:hAnsi="Times New Roman" w:cs="Times New Roman"/>
          <w:b/>
          <w:bCs/>
          <w:sz w:val="24"/>
          <w:szCs w:val="24"/>
        </w:rPr>
      </w:pPr>
    </w:p>
    <w:p w14:paraId="086CF251" w14:textId="698150C2" w:rsidR="00C519D0" w:rsidRDefault="00C519D0" w:rsidP="00C519D0">
      <w:pPr>
        <w:pStyle w:val="BodyText"/>
        <w:spacing w:after="0" w:line="240" w:lineRule="auto"/>
        <w:jc w:val="center"/>
        <w:rPr>
          <w:rFonts w:ascii="Times New Roman" w:eastAsia="Times New Roman" w:hAnsi="Times New Roman" w:cs="Times New Roman"/>
          <w:b/>
          <w:bCs/>
          <w:sz w:val="24"/>
          <w:szCs w:val="24"/>
        </w:rPr>
      </w:pPr>
      <w:r w:rsidRPr="00C519D0">
        <w:rPr>
          <w:rFonts w:ascii="Times New Roman" w:eastAsia="Times New Roman" w:hAnsi="Times New Roman" w:cs="Times New Roman"/>
          <w:b/>
          <w:bCs/>
          <w:sz w:val="24"/>
          <w:szCs w:val="24"/>
        </w:rPr>
        <w:t>1.1. SAŽETAK RAČUNA PRIHODA I RASHODA I RAČUNA FINANCIRANJA</w:t>
      </w:r>
    </w:p>
    <w:p w14:paraId="1E67A7D2" w14:textId="77777777" w:rsidR="00C519D0" w:rsidRPr="00C519D0" w:rsidRDefault="00C519D0" w:rsidP="00C519D0">
      <w:pPr>
        <w:pStyle w:val="BodyText"/>
        <w:spacing w:after="0" w:line="240" w:lineRule="auto"/>
        <w:jc w:val="center"/>
        <w:rPr>
          <w:rFonts w:ascii="Times New Roman" w:eastAsia="Times New Roman" w:hAnsi="Times New Roman" w:cs="Times New Roman"/>
          <w:b/>
          <w:bCs/>
          <w:sz w:val="24"/>
          <w:szCs w:val="24"/>
        </w:rPr>
      </w:pPr>
    </w:p>
    <w:p w14:paraId="31F91555" w14:textId="3C99C4EB" w:rsidR="00C519D0" w:rsidRDefault="00C519D0" w:rsidP="005C0B7C">
      <w:pPr>
        <w:pStyle w:val="BodyText"/>
        <w:numPr>
          <w:ilvl w:val="0"/>
          <w:numId w:val="26"/>
        </w:numPr>
        <w:spacing w:after="0" w:line="240" w:lineRule="auto"/>
        <w:jc w:val="center"/>
        <w:rPr>
          <w:rFonts w:ascii="Times New Roman" w:eastAsia="Times New Roman" w:hAnsi="Times New Roman" w:cs="Times New Roman"/>
          <w:b/>
          <w:bCs/>
          <w:sz w:val="24"/>
          <w:szCs w:val="24"/>
        </w:rPr>
      </w:pPr>
      <w:r w:rsidRPr="00C519D0">
        <w:rPr>
          <w:rFonts w:ascii="Times New Roman" w:eastAsia="Times New Roman" w:hAnsi="Times New Roman" w:cs="Times New Roman"/>
          <w:b/>
          <w:bCs/>
          <w:sz w:val="24"/>
          <w:szCs w:val="24"/>
        </w:rPr>
        <w:t>SAŽETAK RAČUNA PRIHODA I RASHODA</w:t>
      </w:r>
    </w:p>
    <w:p w14:paraId="5482E50B" w14:textId="77777777" w:rsidR="005C0B7C" w:rsidRPr="00C519D0" w:rsidRDefault="005C0B7C" w:rsidP="005C0B7C">
      <w:pPr>
        <w:pStyle w:val="BodyText"/>
        <w:spacing w:after="0" w:line="240" w:lineRule="auto"/>
        <w:ind w:left="720"/>
        <w:rPr>
          <w:rFonts w:ascii="Times New Roman" w:eastAsia="Times New Roman" w:hAnsi="Times New Roman" w:cs="Times New Roman"/>
          <w:b/>
          <w:bCs/>
          <w:sz w:val="24"/>
          <w:szCs w:val="24"/>
        </w:rPr>
      </w:pPr>
    </w:p>
    <w:tbl>
      <w:tblPr>
        <w:tblpPr w:leftFromText="180" w:rightFromText="180" w:vertAnchor="text" w:tblpXSpec="center" w:tblpY="1"/>
        <w:tblOverlap w:val="never"/>
        <w:tblW w:w="9303" w:type="dxa"/>
        <w:tblLayout w:type="fixed"/>
        <w:tblLook w:val="04A0" w:firstRow="1" w:lastRow="0" w:firstColumn="1" w:lastColumn="0" w:noHBand="0" w:noVBand="1"/>
      </w:tblPr>
      <w:tblGrid>
        <w:gridCol w:w="2405"/>
        <w:gridCol w:w="1559"/>
        <w:gridCol w:w="1560"/>
        <w:gridCol w:w="1559"/>
        <w:gridCol w:w="992"/>
        <w:gridCol w:w="561"/>
        <w:gridCol w:w="236"/>
        <w:gridCol w:w="195"/>
        <w:gridCol w:w="41"/>
        <w:gridCol w:w="195"/>
      </w:tblGrid>
      <w:tr w:rsidR="00C519D0" w:rsidRPr="00F120D7" w14:paraId="4EB2C3A1" w14:textId="77777777" w:rsidTr="001D6C75">
        <w:trPr>
          <w:gridAfter w:val="2"/>
          <w:wAfter w:w="236" w:type="dxa"/>
          <w:trHeight w:val="7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945A0"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2A0FBE4"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w:t>
            </w:r>
            <w:r w:rsidRPr="00F120D7">
              <w:rPr>
                <w:rFonts w:ascii="Times New Roman" w:eastAsia="Times New Roman" w:hAnsi="Times New Roman" w:cs="Times New Roman"/>
                <w:b/>
                <w:bCs/>
                <w:color w:val="000000"/>
                <w:lang w:eastAsia="hr-HR"/>
              </w:rPr>
              <w:br/>
              <w:t>31.12.2023.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4EC41D4"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6A64059"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w:t>
            </w:r>
            <w:r w:rsidRPr="00F120D7">
              <w:rPr>
                <w:rFonts w:ascii="Times New Roman" w:eastAsia="Times New Roman" w:hAnsi="Times New Roman" w:cs="Times New Roman"/>
                <w:b/>
                <w:bCs/>
                <w:color w:val="000000"/>
                <w:lang w:eastAsia="hr-HR"/>
              </w:rPr>
              <w:br/>
              <w:t>31.12.2024.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2FF8A79"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2</w:t>
            </w:r>
          </w:p>
        </w:tc>
        <w:tc>
          <w:tcPr>
            <w:tcW w:w="992" w:type="dxa"/>
            <w:gridSpan w:val="3"/>
            <w:tcBorders>
              <w:top w:val="single" w:sz="4" w:space="0" w:color="000000"/>
              <w:left w:val="nil"/>
              <w:bottom w:val="single" w:sz="4" w:space="0" w:color="000000"/>
              <w:right w:val="single" w:sz="4" w:space="0" w:color="000000"/>
            </w:tcBorders>
            <w:shd w:val="clear" w:color="auto" w:fill="auto"/>
            <w:vAlign w:val="center"/>
            <w:hideMark/>
          </w:tcPr>
          <w:p w14:paraId="70700C43"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r>
      <w:tr w:rsidR="00C519D0" w:rsidRPr="00F120D7" w14:paraId="1718CC13" w14:textId="77777777" w:rsidTr="001D6C75">
        <w:trPr>
          <w:gridAfter w:val="2"/>
          <w:wAfter w:w="236" w:type="dxa"/>
          <w:trHeight w:val="28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B07E123"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559" w:type="dxa"/>
            <w:tcBorders>
              <w:top w:val="nil"/>
              <w:left w:val="nil"/>
              <w:bottom w:val="single" w:sz="4" w:space="0" w:color="000000"/>
              <w:right w:val="single" w:sz="4" w:space="0" w:color="000000"/>
            </w:tcBorders>
            <w:shd w:val="clear" w:color="auto" w:fill="auto"/>
            <w:vAlign w:val="center"/>
            <w:hideMark/>
          </w:tcPr>
          <w:p w14:paraId="3854D9E7"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60" w:type="dxa"/>
            <w:tcBorders>
              <w:top w:val="nil"/>
              <w:left w:val="nil"/>
              <w:bottom w:val="single" w:sz="4" w:space="0" w:color="000000"/>
              <w:right w:val="single" w:sz="4" w:space="0" w:color="000000"/>
            </w:tcBorders>
            <w:shd w:val="clear" w:color="auto" w:fill="auto"/>
            <w:vAlign w:val="center"/>
            <w:hideMark/>
          </w:tcPr>
          <w:p w14:paraId="2A3832C2"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9" w:type="dxa"/>
            <w:tcBorders>
              <w:top w:val="nil"/>
              <w:left w:val="nil"/>
              <w:bottom w:val="single" w:sz="4" w:space="0" w:color="000000"/>
              <w:right w:val="single" w:sz="4" w:space="0" w:color="000000"/>
            </w:tcBorders>
            <w:shd w:val="clear" w:color="auto" w:fill="auto"/>
            <w:vAlign w:val="center"/>
            <w:hideMark/>
          </w:tcPr>
          <w:p w14:paraId="49000D06"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2" w:type="dxa"/>
            <w:tcBorders>
              <w:top w:val="nil"/>
              <w:left w:val="nil"/>
              <w:bottom w:val="single" w:sz="4" w:space="0" w:color="000000"/>
              <w:right w:val="single" w:sz="4" w:space="0" w:color="000000"/>
            </w:tcBorders>
            <w:shd w:val="clear" w:color="auto" w:fill="auto"/>
            <w:vAlign w:val="center"/>
            <w:hideMark/>
          </w:tcPr>
          <w:p w14:paraId="22008323"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08B39508"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C519D0" w:rsidRPr="00F120D7" w14:paraId="5258AED4" w14:textId="77777777" w:rsidTr="001D6C75">
        <w:trPr>
          <w:gridAfter w:val="2"/>
          <w:wAfter w:w="236" w:type="dxa"/>
          <w:trHeight w:val="495"/>
        </w:trPr>
        <w:tc>
          <w:tcPr>
            <w:tcW w:w="2405" w:type="dxa"/>
            <w:tcBorders>
              <w:top w:val="nil"/>
              <w:left w:val="single" w:sz="4" w:space="0" w:color="000000"/>
              <w:bottom w:val="single" w:sz="4" w:space="0" w:color="000000"/>
              <w:right w:val="single" w:sz="4" w:space="0" w:color="000000"/>
            </w:tcBorders>
            <w:shd w:val="clear" w:color="000000" w:fill="DCDCDC"/>
            <w:vAlign w:val="center"/>
            <w:hideMark/>
          </w:tcPr>
          <w:p w14:paraId="2D59B1AC" w14:textId="77777777" w:rsidR="00C519D0" w:rsidRPr="00F120D7" w:rsidRDefault="00C519D0" w:rsidP="00253F03">
            <w:pPr>
              <w:spacing w:after="0" w:line="240" w:lineRule="auto"/>
              <w:ind w:left="-12"/>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PRIHODI UKUPNO</w:t>
            </w:r>
          </w:p>
        </w:tc>
        <w:tc>
          <w:tcPr>
            <w:tcW w:w="1559" w:type="dxa"/>
            <w:tcBorders>
              <w:top w:val="nil"/>
              <w:left w:val="nil"/>
              <w:bottom w:val="single" w:sz="4" w:space="0" w:color="000000"/>
              <w:right w:val="single" w:sz="4" w:space="0" w:color="000000"/>
            </w:tcBorders>
            <w:shd w:val="clear" w:color="000000" w:fill="DCDCDC"/>
            <w:vAlign w:val="center"/>
            <w:hideMark/>
          </w:tcPr>
          <w:p w14:paraId="6501D2DF"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719.312,84</w:t>
            </w:r>
          </w:p>
        </w:tc>
        <w:tc>
          <w:tcPr>
            <w:tcW w:w="1560" w:type="dxa"/>
            <w:tcBorders>
              <w:top w:val="nil"/>
              <w:left w:val="nil"/>
              <w:bottom w:val="single" w:sz="4" w:space="0" w:color="000000"/>
              <w:right w:val="single" w:sz="4" w:space="0" w:color="000000"/>
            </w:tcBorders>
            <w:shd w:val="clear" w:color="000000" w:fill="DCDCDC"/>
            <w:vAlign w:val="center"/>
            <w:hideMark/>
          </w:tcPr>
          <w:p w14:paraId="1203A87B"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891.227,00</w:t>
            </w:r>
          </w:p>
        </w:tc>
        <w:tc>
          <w:tcPr>
            <w:tcW w:w="1559" w:type="dxa"/>
            <w:tcBorders>
              <w:top w:val="nil"/>
              <w:left w:val="nil"/>
              <w:bottom w:val="single" w:sz="4" w:space="0" w:color="000000"/>
              <w:right w:val="single" w:sz="4" w:space="0" w:color="000000"/>
            </w:tcBorders>
            <w:shd w:val="clear" w:color="000000" w:fill="DCDCDC"/>
            <w:vAlign w:val="center"/>
            <w:hideMark/>
          </w:tcPr>
          <w:p w14:paraId="316326A4"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825.485,50</w:t>
            </w:r>
          </w:p>
        </w:tc>
        <w:tc>
          <w:tcPr>
            <w:tcW w:w="992" w:type="dxa"/>
            <w:tcBorders>
              <w:top w:val="nil"/>
              <w:left w:val="nil"/>
              <w:bottom w:val="single" w:sz="4" w:space="0" w:color="000000"/>
              <w:right w:val="single" w:sz="4" w:space="0" w:color="000000"/>
            </w:tcBorders>
            <w:shd w:val="clear" w:color="000000" w:fill="DCDCDC"/>
            <w:vAlign w:val="center"/>
            <w:hideMark/>
          </w:tcPr>
          <w:p w14:paraId="43CE1EA5"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114,76</w:t>
            </w:r>
          </w:p>
        </w:tc>
        <w:tc>
          <w:tcPr>
            <w:tcW w:w="992" w:type="dxa"/>
            <w:gridSpan w:val="3"/>
            <w:tcBorders>
              <w:top w:val="nil"/>
              <w:left w:val="nil"/>
              <w:bottom w:val="single" w:sz="4" w:space="0" w:color="000000"/>
              <w:right w:val="single" w:sz="4" w:space="0" w:color="000000"/>
            </w:tcBorders>
            <w:shd w:val="clear" w:color="000000" w:fill="DCDCDC"/>
            <w:vAlign w:val="center"/>
            <w:hideMark/>
          </w:tcPr>
          <w:p w14:paraId="557A7B34"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92,62</w:t>
            </w:r>
          </w:p>
        </w:tc>
      </w:tr>
      <w:tr w:rsidR="00C519D0" w:rsidRPr="00F120D7" w14:paraId="5D07B0FC" w14:textId="77777777" w:rsidTr="001D6C75">
        <w:trPr>
          <w:gridAfter w:val="2"/>
          <w:wAfter w:w="236" w:type="dxa"/>
          <w:trHeight w:val="48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2F37D05C" w14:textId="5E1916D8" w:rsidR="00C519D0" w:rsidRPr="00F120D7" w:rsidRDefault="00C519D0" w:rsidP="00253F03">
            <w:pPr>
              <w:spacing w:after="0" w:line="240" w:lineRule="auto"/>
              <w:ind w:left="-12"/>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POSLOVANJA</w:t>
            </w:r>
          </w:p>
        </w:tc>
        <w:tc>
          <w:tcPr>
            <w:tcW w:w="1559" w:type="dxa"/>
            <w:tcBorders>
              <w:top w:val="nil"/>
              <w:left w:val="nil"/>
              <w:bottom w:val="single" w:sz="4" w:space="0" w:color="000000"/>
              <w:right w:val="single" w:sz="4" w:space="0" w:color="000000"/>
            </w:tcBorders>
            <w:shd w:val="clear" w:color="auto" w:fill="auto"/>
            <w:vAlign w:val="center"/>
            <w:hideMark/>
          </w:tcPr>
          <w:p w14:paraId="0B412EFE"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719.312,84</w:t>
            </w:r>
          </w:p>
        </w:tc>
        <w:tc>
          <w:tcPr>
            <w:tcW w:w="1560" w:type="dxa"/>
            <w:tcBorders>
              <w:top w:val="nil"/>
              <w:left w:val="nil"/>
              <w:bottom w:val="single" w:sz="4" w:space="0" w:color="000000"/>
              <w:right w:val="single" w:sz="4" w:space="0" w:color="000000"/>
            </w:tcBorders>
            <w:shd w:val="clear" w:color="auto" w:fill="auto"/>
            <w:vAlign w:val="center"/>
            <w:hideMark/>
          </w:tcPr>
          <w:p w14:paraId="5EB48A62"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891.227,00</w:t>
            </w:r>
          </w:p>
        </w:tc>
        <w:tc>
          <w:tcPr>
            <w:tcW w:w="1559" w:type="dxa"/>
            <w:tcBorders>
              <w:top w:val="nil"/>
              <w:left w:val="nil"/>
              <w:bottom w:val="single" w:sz="4" w:space="0" w:color="000000"/>
              <w:right w:val="single" w:sz="4" w:space="0" w:color="000000"/>
            </w:tcBorders>
            <w:shd w:val="clear" w:color="auto" w:fill="auto"/>
            <w:vAlign w:val="center"/>
            <w:hideMark/>
          </w:tcPr>
          <w:p w14:paraId="4F2DAFB6"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825.485,50</w:t>
            </w:r>
          </w:p>
        </w:tc>
        <w:tc>
          <w:tcPr>
            <w:tcW w:w="992" w:type="dxa"/>
            <w:tcBorders>
              <w:top w:val="nil"/>
              <w:left w:val="nil"/>
              <w:bottom w:val="single" w:sz="4" w:space="0" w:color="000000"/>
              <w:right w:val="single" w:sz="4" w:space="0" w:color="000000"/>
            </w:tcBorders>
            <w:shd w:val="clear" w:color="auto" w:fill="auto"/>
            <w:vAlign w:val="center"/>
            <w:hideMark/>
          </w:tcPr>
          <w:p w14:paraId="26BAB85A"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114,76</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643F295D"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92,62</w:t>
            </w:r>
          </w:p>
        </w:tc>
      </w:tr>
      <w:tr w:rsidR="00C519D0" w:rsidRPr="00F120D7" w14:paraId="6180D8A5" w14:textId="77777777" w:rsidTr="001D6C75">
        <w:trPr>
          <w:gridAfter w:val="2"/>
          <w:wAfter w:w="236" w:type="dxa"/>
          <w:trHeight w:val="48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0B1D8E4A" w14:textId="062753F0" w:rsidR="00C519D0" w:rsidRPr="00F120D7" w:rsidRDefault="00C519D0" w:rsidP="00253F03">
            <w:pPr>
              <w:spacing w:after="0" w:line="240" w:lineRule="auto"/>
              <w:ind w:left="-12"/>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OD PRODAJE NEFINANCIJSKE IMOVINE</w:t>
            </w:r>
          </w:p>
        </w:tc>
        <w:tc>
          <w:tcPr>
            <w:tcW w:w="1559" w:type="dxa"/>
            <w:tcBorders>
              <w:top w:val="nil"/>
              <w:left w:val="nil"/>
              <w:bottom w:val="single" w:sz="4" w:space="0" w:color="000000"/>
              <w:right w:val="single" w:sz="4" w:space="0" w:color="000000"/>
            </w:tcBorders>
            <w:shd w:val="clear" w:color="auto" w:fill="auto"/>
            <w:vAlign w:val="center"/>
            <w:hideMark/>
          </w:tcPr>
          <w:p w14:paraId="07E85F17"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60" w:type="dxa"/>
            <w:tcBorders>
              <w:top w:val="nil"/>
              <w:left w:val="nil"/>
              <w:bottom w:val="single" w:sz="4" w:space="0" w:color="000000"/>
              <w:right w:val="single" w:sz="4" w:space="0" w:color="000000"/>
            </w:tcBorders>
            <w:shd w:val="clear" w:color="auto" w:fill="auto"/>
            <w:vAlign w:val="center"/>
            <w:hideMark/>
          </w:tcPr>
          <w:p w14:paraId="78949D4A"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59" w:type="dxa"/>
            <w:tcBorders>
              <w:top w:val="nil"/>
              <w:left w:val="nil"/>
              <w:bottom w:val="single" w:sz="4" w:space="0" w:color="000000"/>
              <w:right w:val="single" w:sz="4" w:space="0" w:color="000000"/>
            </w:tcBorders>
            <w:shd w:val="clear" w:color="auto" w:fill="auto"/>
            <w:vAlign w:val="center"/>
            <w:hideMark/>
          </w:tcPr>
          <w:p w14:paraId="786318F7"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2" w:type="dxa"/>
            <w:tcBorders>
              <w:top w:val="nil"/>
              <w:left w:val="nil"/>
              <w:bottom w:val="single" w:sz="4" w:space="0" w:color="000000"/>
              <w:right w:val="single" w:sz="4" w:space="0" w:color="000000"/>
            </w:tcBorders>
            <w:shd w:val="clear" w:color="auto" w:fill="auto"/>
            <w:vAlign w:val="center"/>
            <w:hideMark/>
          </w:tcPr>
          <w:p w14:paraId="0CC1A9F4"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7CA1B09B"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r>
      <w:tr w:rsidR="00C519D0" w:rsidRPr="00F120D7" w14:paraId="4B11B25A" w14:textId="77777777" w:rsidTr="001D6C75">
        <w:trPr>
          <w:gridAfter w:val="2"/>
          <w:wAfter w:w="236" w:type="dxa"/>
          <w:trHeight w:val="495"/>
        </w:trPr>
        <w:tc>
          <w:tcPr>
            <w:tcW w:w="2405" w:type="dxa"/>
            <w:tcBorders>
              <w:top w:val="nil"/>
              <w:left w:val="single" w:sz="4" w:space="0" w:color="000000"/>
              <w:bottom w:val="single" w:sz="4" w:space="0" w:color="000000"/>
              <w:right w:val="single" w:sz="4" w:space="0" w:color="000000"/>
            </w:tcBorders>
            <w:shd w:val="clear" w:color="000000" w:fill="DCDCDC"/>
            <w:vAlign w:val="center"/>
            <w:hideMark/>
          </w:tcPr>
          <w:p w14:paraId="27040D35" w14:textId="77777777" w:rsidR="00C519D0" w:rsidRPr="00F120D7" w:rsidRDefault="00C519D0" w:rsidP="00253F03">
            <w:pPr>
              <w:spacing w:after="0" w:line="240" w:lineRule="auto"/>
              <w:ind w:left="-12"/>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RASHODI UKUPNO</w:t>
            </w:r>
          </w:p>
        </w:tc>
        <w:tc>
          <w:tcPr>
            <w:tcW w:w="1559" w:type="dxa"/>
            <w:tcBorders>
              <w:top w:val="nil"/>
              <w:left w:val="nil"/>
              <w:bottom w:val="single" w:sz="4" w:space="0" w:color="000000"/>
              <w:right w:val="single" w:sz="4" w:space="0" w:color="000000"/>
            </w:tcBorders>
            <w:shd w:val="clear" w:color="000000" w:fill="DCDCDC"/>
            <w:vAlign w:val="center"/>
            <w:hideMark/>
          </w:tcPr>
          <w:p w14:paraId="617B66DF"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720.666,94</w:t>
            </w:r>
          </w:p>
        </w:tc>
        <w:tc>
          <w:tcPr>
            <w:tcW w:w="1560" w:type="dxa"/>
            <w:tcBorders>
              <w:top w:val="nil"/>
              <w:left w:val="nil"/>
              <w:bottom w:val="single" w:sz="4" w:space="0" w:color="000000"/>
              <w:right w:val="single" w:sz="4" w:space="0" w:color="000000"/>
            </w:tcBorders>
            <w:shd w:val="clear" w:color="000000" w:fill="DCDCDC"/>
            <w:vAlign w:val="center"/>
            <w:hideMark/>
          </w:tcPr>
          <w:p w14:paraId="562650D4"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1559" w:type="dxa"/>
            <w:tcBorders>
              <w:top w:val="nil"/>
              <w:left w:val="nil"/>
              <w:bottom w:val="single" w:sz="4" w:space="0" w:color="000000"/>
              <w:right w:val="single" w:sz="4" w:space="0" w:color="000000"/>
            </w:tcBorders>
            <w:shd w:val="clear" w:color="000000" w:fill="DCDCDC"/>
            <w:vAlign w:val="center"/>
            <w:hideMark/>
          </w:tcPr>
          <w:p w14:paraId="16F7AA5D"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992" w:type="dxa"/>
            <w:tcBorders>
              <w:top w:val="nil"/>
              <w:left w:val="nil"/>
              <w:bottom w:val="single" w:sz="4" w:space="0" w:color="000000"/>
              <w:right w:val="single" w:sz="4" w:space="0" w:color="000000"/>
            </w:tcBorders>
            <w:shd w:val="clear" w:color="000000" w:fill="DCDCDC"/>
            <w:vAlign w:val="center"/>
            <w:hideMark/>
          </w:tcPr>
          <w:p w14:paraId="364F60FE"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102,40</w:t>
            </w:r>
          </w:p>
        </w:tc>
        <w:tc>
          <w:tcPr>
            <w:tcW w:w="992" w:type="dxa"/>
            <w:gridSpan w:val="3"/>
            <w:tcBorders>
              <w:top w:val="nil"/>
              <w:left w:val="nil"/>
              <w:bottom w:val="single" w:sz="4" w:space="0" w:color="000000"/>
              <w:right w:val="single" w:sz="4" w:space="0" w:color="000000"/>
            </w:tcBorders>
            <w:shd w:val="clear" w:color="000000" w:fill="DCDCDC"/>
            <w:vAlign w:val="center"/>
            <w:hideMark/>
          </w:tcPr>
          <w:p w14:paraId="1E48B463"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r>
      <w:tr w:rsidR="00C519D0" w:rsidRPr="00F120D7" w14:paraId="64FC1BE8" w14:textId="77777777" w:rsidTr="001D6C75">
        <w:trPr>
          <w:gridAfter w:val="2"/>
          <w:wAfter w:w="236" w:type="dxa"/>
          <w:trHeight w:val="48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00F3FB5E" w14:textId="7FC13238" w:rsidR="00C519D0" w:rsidRPr="00F120D7" w:rsidRDefault="00C519D0" w:rsidP="00253F03">
            <w:pPr>
              <w:spacing w:after="0" w:line="240" w:lineRule="auto"/>
              <w:ind w:left="-12"/>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POSLOVANJA</w:t>
            </w:r>
          </w:p>
        </w:tc>
        <w:tc>
          <w:tcPr>
            <w:tcW w:w="1559" w:type="dxa"/>
            <w:tcBorders>
              <w:top w:val="nil"/>
              <w:left w:val="nil"/>
              <w:bottom w:val="single" w:sz="4" w:space="0" w:color="000000"/>
              <w:right w:val="single" w:sz="4" w:space="0" w:color="000000"/>
            </w:tcBorders>
            <w:shd w:val="clear" w:color="auto" w:fill="auto"/>
            <w:vAlign w:val="center"/>
            <w:hideMark/>
          </w:tcPr>
          <w:p w14:paraId="2AFF025E"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707.184,24</w:t>
            </w:r>
          </w:p>
        </w:tc>
        <w:tc>
          <w:tcPr>
            <w:tcW w:w="1560" w:type="dxa"/>
            <w:tcBorders>
              <w:top w:val="nil"/>
              <w:left w:val="nil"/>
              <w:bottom w:val="single" w:sz="4" w:space="0" w:color="000000"/>
              <w:right w:val="single" w:sz="4" w:space="0" w:color="000000"/>
            </w:tcBorders>
            <w:shd w:val="clear" w:color="auto" w:fill="auto"/>
            <w:vAlign w:val="center"/>
            <w:hideMark/>
          </w:tcPr>
          <w:p w14:paraId="140A92FD"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822.060,00</w:t>
            </w:r>
          </w:p>
        </w:tc>
        <w:tc>
          <w:tcPr>
            <w:tcW w:w="1559" w:type="dxa"/>
            <w:tcBorders>
              <w:top w:val="nil"/>
              <w:left w:val="nil"/>
              <w:bottom w:val="single" w:sz="4" w:space="0" w:color="000000"/>
              <w:right w:val="single" w:sz="4" w:space="0" w:color="000000"/>
            </w:tcBorders>
            <w:shd w:val="clear" w:color="auto" w:fill="auto"/>
            <w:vAlign w:val="center"/>
            <w:hideMark/>
          </w:tcPr>
          <w:p w14:paraId="74B5B3C9"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737.459,67</w:t>
            </w:r>
          </w:p>
        </w:tc>
        <w:tc>
          <w:tcPr>
            <w:tcW w:w="992" w:type="dxa"/>
            <w:tcBorders>
              <w:top w:val="nil"/>
              <w:left w:val="nil"/>
              <w:bottom w:val="single" w:sz="4" w:space="0" w:color="000000"/>
              <w:right w:val="single" w:sz="4" w:space="0" w:color="000000"/>
            </w:tcBorders>
            <w:shd w:val="clear" w:color="auto" w:fill="auto"/>
            <w:vAlign w:val="center"/>
            <w:hideMark/>
          </w:tcPr>
          <w:p w14:paraId="79BF0D3B"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104,28</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316B858C"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89,71</w:t>
            </w:r>
          </w:p>
        </w:tc>
      </w:tr>
      <w:tr w:rsidR="00C519D0" w:rsidRPr="00F120D7" w14:paraId="22994EBE" w14:textId="77777777" w:rsidTr="001D6C75">
        <w:trPr>
          <w:gridAfter w:val="2"/>
          <w:wAfter w:w="236" w:type="dxa"/>
          <w:trHeight w:val="49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6C772AA" w14:textId="5C622DBA" w:rsidR="00C519D0" w:rsidRPr="00F120D7" w:rsidRDefault="00C519D0" w:rsidP="00253F03">
            <w:pPr>
              <w:spacing w:after="0" w:line="240" w:lineRule="auto"/>
              <w:ind w:left="-12"/>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NABAVU NEFINANCIJSKE IMOVINE</w:t>
            </w:r>
          </w:p>
        </w:tc>
        <w:tc>
          <w:tcPr>
            <w:tcW w:w="1559" w:type="dxa"/>
            <w:tcBorders>
              <w:top w:val="nil"/>
              <w:left w:val="nil"/>
              <w:bottom w:val="single" w:sz="4" w:space="0" w:color="000000"/>
              <w:right w:val="single" w:sz="4" w:space="0" w:color="000000"/>
            </w:tcBorders>
            <w:shd w:val="clear" w:color="auto" w:fill="auto"/>
            <w:vAlign w:val="center"/>
            <w:hideMark/>
          </w:tcPr>
          <w:p w14:paraId="1C86C65E"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13.482,70</w:t>
            </w:r>
          </w:p>
        </w:tc>
        <w:tc>
          <w:tcPr>
            <w:tcW w:w="1560" w:type="dxa"/>
            <w:tcBorders>
              <w:top w:val="nil"/>
              <w:left w:val="nil"/>
              <w:bottom w:val="single" w:sz="4" w:space="0" w:color="000000"/>
              <w:right w:val="single" w:sz="4" w:space="0" w:color="000000"/>
            </w:tcBorders>
            <w:shd w:val="clear" w:color="auto" w:fill="auto"/>
            <w:vAlign w:val="center"/>
            <w:hideMark/>
          </w:tcPr>
          <w:p w14:paraId="7974B91F"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3.000,00</w:t>
            </w:r>
          </w:p>
        </w:tc>
        <w:tc>
          <w:tcPr>
            <w:tcW w:w="1559" w:type="dxa"/>
            <w:tcBorders>
              <w:top w:val="nil"/>
              <w:left w:val="nil"/>
              <w:bottom w:val="single" w:sz="4" w:space="0" w:color="000000"/>
              <w:right w:val="single" w:sz="4" w:space="0" w:color="000000"/>
            </w:tcBorders>
            <w:shd w:val="clear" w:color="auto" w:fill="auto"/>
            <w:vAlign w:val="center"/>
            <w:hideMark/>
          </w:tcPr>
          <w:p w14:paraId="0DEEC437"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497,50</w:t>
            </w:r>
          </w:p>
        </w:tc>
        <w:tc>
          <w:tcPr>
            <w:tcW w:w="992" w:type="dxa"/>
            <w:tcBorders>
              <w:top w:val="nil"/>
              <w:left w:val="nil"/>
              <w:bottom w:val="single" w:sz="4" w:space="0" w:color="000000"/>
              <w:right w:val="single" w:sz="4" w:space="0" w:color="000000"/>
            </w:tcBorders>
            <w:shd w:val="clear" w:color="auto" w:fill="auto"/>
            <w:vAlign w:val="center"/>
            <w:hideMark/>
          </w:tcPr>
          <w:p w14:paraId="1BEA1F77"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3,69</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7FC5D585"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16,58</w:t>
            </w:r>
          </w:p>
        </w:tc>
      </w:tr>
      <w:tr w:rsidR="00C519D0" w:rsidRPr="00F120D7" w14:paraId="39E8C57A" w14:textId="77777777" w:rsidTr="001D6C75">
        <w:trPr>
          <w:gridAfter w:val="2"/>
          <w:wAfter w:w="236" w:type="dxa"/>
          <w:trHeight w:val="480"/>
        </w:trPr>
        <w:tc>
          <w:tcPr>
            <w:tcW w:w="2405" w:type="dxa"/>
            <w:tcBorders>
              <w:top w:val="nil"/>
              <w:left w:val="single" w:sz="4" w:space="0" w:color="000000"/>
              <w:bottom w:val="single" w:sz="4" w:space="0" w:color="000000"/>
              <w:right w:val="single" w:sz="4" w:space="0" w:color="000000"/>
            </w:tcBorders>
            <w:shd w:val="clear" w:color="000000" w:fill="DCDCDC"/>
            <w:vAlign w:val="center"/>
            <w:hideMark/>
          </w:tcPr>
          <w:p w14:paraId="6E6E8891" w14:textId="77777777" w:rsidR="00C519D0" w:rsidRPr="00F120D7" w:rsidRDefault="00C519D0" w:rsidP="00253F03">
            <w:pPr>
              <w:spacing w:after="0" w:line="240" w:lineRule="auto"/>
              <w:ind w:left="-12"/>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RAZLIKA - VIŠAK / MANJAK</w:t>
            </w:r>
          </w:p>
        </w:tc>
        <w:tc>
          <w:tcPr>
            <w:tcW w:w="1559" w:type="dxa"/>
            <w:tcBorders>
              <w:top w:val="nil"/>
              <w:left w:val="nil"/>
              <w:bottom w:val="single" w:sz="4" w:space="0" w:color="000000"/>
              <w:right w:val="single" w:sz="4" w:space="0" w:color="000000"/>
            </w:tcBorders>
            <w:shd w:val="clear" w:color="000000" w:fill="DCDCDC"/>
            <w:vAlign w:val="center"/>
            <w:hideMark/>
          </w:tcPr>
          <w:p w14:paraId="217A0FB3"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-1.354,10</w:t>
            </w:r>
          </w:p>
        </w:tc>
        <w:tc>
          <w:tcPr>
            <w:tcW w:w="1560" w:type="dxa"/>
            <w:tcBorders>
              <w:top w:val="nil"/>
              <w:left w:val="nil"/>
              <w:bottom w:val="single" w:sz="4" w:space="0" w:color="000000"/>
              <w:right w:val="single" w:sz="4" w:space="0" w:color="000000"/>
            </w:tcBorders>
            <w:shd w:val="clear" w:color="000000" w:fill="DCDCDC"/>
            <w:vAlign w:val="center"/>
            <w:hideMark/>
          </w:tcPr>
          <w:p w14:paraId="62B90497"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66.167,00</w:t>
            </w:r>
          </w:p>
        </w:tc>
        <w:tc>
          <w:tcPr>
            <w:tcW w:w="1559" w:type="dxa"/>
            <w:tcBorders>
              <w:top w:val="nil"/>
              <w:left w:val="nil"/>
              <w:bottom w:val="single" w:sz="4" w:space="0" w:color="000000"/>
              <w:right w:val="single" w:sz="4" w:space="0" w:color="000000"/>
            </w:tcBorders>
            <w:shd w:val="clear" w:color="000000" w:fill="DCDCDC"/>
            <w:vAlign w:val="center"/>
            <w:hideMark/>
          </w:tcPr>
          <w:p w14:paraId="6EF20864"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87.528,33</w:t>
            </w:r>
          </w:p>
        </w:tc>
        <w:tc>
          <w:tcPr>
            <w:tcW w:w="992" w:type="dxa"/>
            <w:tcBorders>
              <w:top w:val="nil"/>
              <w:left w:val="nil"/>
              <w:bottom w:val="single" w:sz="4" w:space="0" w:color="000000"/>
              <w:right w:val="single" w:sz="4" w:space="0" w:color="000000"/>
            </w:tcBorders>
            <w:shd w:val="clear" w:color="000000" w:fill="DCDCDC"/>
            <w:vAlign w:val="center"/>
            <w:hideMark/>
          </w:tcPr>
          <w:p w14:paraId="5638E7FA"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992" w:type="dxa"/>
            <w:gridSpan w:val="3"/>
            <w:tcBorders>
              <w:top w:val="nil"/>
              <w:left w:val="nil"/>
              <w:bottom w:val="single" w:sz="4" w:space="0" w:color="000000"/>
              <w:right w:val="single" w:sz="4" w:space="0" w:color="000000"/>
            </w:tcBorders>
            <w:shd w:val="clear" w:color="000000" w:fill="DCDCDC"/>
            <w:vAlign w:val="center"/>
            <w:hideMark/>
          </w:tcPr>
          <w:p w14:paraId="60284134"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132,28</w:t>
            </w:r>
          </w:p>
        </w:tc>
      </w:tr>
      <w:tr w:rsidR="00413EE5" w:rsidRPr="00F120D7" w14:paraId="0E250FAA" w14:textId="77777777" w:rsidTr="001D6C75">
        <w:trPr>
          <w:gridAfter w:val="1"/>
          <w:wAfter w:w="195" w:type="dxa"/>
          <w:trHeight w:val="345"/>
        </w:trPr>
        <w:tc>
          <w:tcPr>
            <w:tcW w:w="2405" w:type="dxa"/>
            <w:tcBorders>
              <w:top w:val="nil"/>
              <w:left w:val="nil"/>
              <w:bottom w:val="nil"/>
              <w:right w:val="nil"/>
            </w:tcBorders>
            <w:shd w:val="clear" w:color="auto" w:fill="auto"/>
            <w:noWrap/>
            <w:vAlign w:val="bottom"/>
            <w:hideMark/>
          </w:tcPr>
          <w:p w14:paraId="31EC9CE8"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hideMark/>
          </w:tcPr>
          <w:p w14:paraId="5D4C43F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60" w:type="dxa"/>
            <w:tcBorders>
              <w:top w:val="nil"/>
              <w:left w:val="nil"/>
              <w:bottom w:val="nil"/>
              <w:right w:val="nil"/>
            </w:tcBorders>
            <w:shd w:val="clear" w:color="auto" w:fill="auto"/>
            <w:noWrap/>
            <w:vAlign w:val="bottom"/>
            <w:hideMark/>
          </w:tcPr>
          <w:p w14:paraId="51D8A38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hideMark/>
          </w:tcPr>
          <w:p w14:paraId="7F06B72D"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992" w:type="dxa"/>
            <w:tcBorders>
              <w:top w:val="nil"/>
              <w:left w:val="nil"/>
              <w:bottom w:val="nil"/>
              <w:right w:val="nil"/>
            </w:tcBorders>
            <w:shd w:val="clear" w:color="auto" w:fill="auto"/>
            <w:noWrap/>
            <w:vAlign w:val="bottom"/>
            <w:hideMark/>
          </w:tcPr>
          <w:p w14:paraId="3FAE3594"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561" w:type="dxa"/>
            <w:tcBorders>
              <w:top w:val="nil"/>
              <w:left w:val="nil"/>
              <w:bottom w:val="nil"/>
              <w:right w:val="nil"/>
            </w:tcBorders>
            <w:shd w:val="clear" w:color="auto" w:fill="auto"/>
            <w:noWrap/>
            <w:vAlign w:val="bottom"/>
            <w:hideMark/>
          </w:tcPr>
          <w:p w14:paraId="194A4EE7"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tcBorders>
              <w:top w:val="nil"/>
              <w:left w:val="nil"/>
              <w:bottom w:val="nil"/>
              <w:right w:val="nil"/>
            </w:tcBorders>
            <w:shd w:val="clear" w:color="auto" w:fill="auto"/>
            <w:noWrap/>
            <w:vAlign w:val="bottom"/>
            <w:hideMark/>
          </w:tcPr>
          <w:p w14:paraId="52C1A91E"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6A81BC63"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r>
      <w:tr w:rsidR="00413EE5" w:rsidRPr="00F120D7" w14:paraId="4A5AF4A4" w14:textId="77777777" w:rsidTr="001D6C75">
        <w:trPr>
          <w:gridAfter w:val="4"/>
          <w:wAfter w:w="667" w:type="dxa"/>
          <w:trHeight w:val="255"/>
        </w:trPr>
        <w:tc>
          <w:tcPr>
            <w:tcW w:w="8636" w:type="dxa"/>
            <w:gridSpan w:val="6"/>
            <w:tcBorders>
              <w:top w:val="nil"/>
              <w:left w:val="nil"/>
              <w:bottom w:val="nil"/>
              <w:right w:val="nil"/>
            </w:tcBorders>
            <w:shd w:val="clear" w:color="auto" w:fill="auto"/>
            <w:hideMark/>
          </w:tcPr>
          <w:p w14:paraId="28D02460" w14:textId="77777777" w:rsidR="00413EE5"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 SAŽETAK RAČUNA FINANCIRANJA</w:t>
            </w:r>
          </w:p>
          <w:p w14:paraId="3ED69D3D" w14:textId="77777777" w:rsidR="00C25598" w:rsidRPr="00F120D7" w:rsidRDefault="00C25598" w:rsidP="00253F03">
            <w:pPr>
              <w:spacing w:after="0" w:line="240" w:lineRule="auto"/>
              <w:ind w:left="-12"/>
              <w:jc w:val="center"/>
              <w:rPr>
                <w:rFonts w:ascii="Times New Roman" w:eastAsia="Times New Roman" w:hAnsi="Times New Roman" w:cs="Times New Roman"/>
                <w:b/>
                <w:bCs/>
                <w:color w:val="000000"/>
                <w:lang w:eastAsia="hr-HR"/>
              </w:rPr>
            </w:pPr>
          </w:p>
        </w:tc>
      </w:tr>
      <w:tr w:rsidR="00413EE5" w:rsidRPr="00F120D7" w14:paraId="47AA5F67" w14:textId="77777777" w:rsidTr="001D6C75">
        <w:trPr>
          <w:gridAfter w:val="1"/>
          <w:wAfter w:w="195" w:type="dxa"/>
          <w:trHeight w:val="165"/>
        </w:trPr>
        <w:tc>
          <w:tcPr>
            <w:tcW w:w="2405" w:type="dxa"/>
            <w:tcBorders>
              <w:top w:val="nil"/>
              <w:left w:val="nil"/>
              <w:bottom w:val="nil"/>
              <w:right w:val="nil"/>
            </w:tcBorders>
            <w:shd w:val="clear" w:color="auto" w:fill="auto"/>
            <w:noWrap/>
            <w:vAlign w:val="bottom"/>
            <w:hideMark/>
          </w:tcPr>
          <w:p w14:paraId="1E681C5C"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p>
        </w:tc>
        <w:tc>
          <w:tcPr>
            <w:tcW w:w="1559" w:type="dxa"/>
            <w:tcBorders>
              <w:top w:val="nil"/>
              <w:left w:val="nil"/>
              <w:bottom w:val="nil"/>
              <w:right w:val="nil"/>
            </w:tcBorders>
            <w:shd w:val="clear" w:color="auto" w:fill="auto"/>
            <w:noWrap/>
            <w:vAlign w:val="bottom"/>
            <w:hideMark/>
          </w:tcPr>
          <w:p w14:paraId="1B14B4A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60" w:type="dxa"/>
            <w:tcBorders>
              <w:top w:val="nil"/>
              <w:left w:val="nil"/>
              <w:bottom w:val="nil"/>
              <w:right w:val="nil"/>
            </w:tcBorders>
            <w:shd w:val="clear" w:color="auto" w:fill="auto"/>
            <w:noWrap/>
            <w:vAlign w:val="bottom"/>
            <w:hideMark/>
          </w:tcPr>
          <w:p w14:paraId="04639CED"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hideMark/>
          </w:tcPr>
          <w:p w14:paraId="7C87E84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992" w:type="dxa"/>
            <w:tcBorders>
              <w:top w:val="nil"/>
              <w:left w:val="nil"/>
              <w:bottom w:val="nil"/>
              <w:right w:val="nil"/>
            </w:tcBorders>
            <w:shd w:val="clear" w:color="auto" w:fill="auto"/>
            <w:noWrap/>
            <w:vAlign w:val="bottom"/>
            <w:hideMark/>
          </w:tcPr>
          <w:p w14:paraId="04E767EE"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561" w:type="dxa"/>
            <w:tcBorders>
              <w:top w:val="nil"/>
              <w:left w:val="nil"/>
              <w:bottom w:val="nil"/>
              <w:right w:val="nil"/>
            </w:tcBorders>
            <w:shd w:val="clear" w:color="auto" w:fill="auto"/>
            <w:noWrap/>
            <w:vAlign w:val="bottom"/>
            <w:hideMark/>
          </w:tcPr>
          <w:p w14:paraId="3C8AD17B"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tcBorders>
              <w:top w:val="nil"/>
              <w:left w:val="nil"/>
              <w:bottom w:val="nil"/>
              <w:right w:val="nil"/>
            </w:tcBorders>
            <w:shd w:val="clear" w:color="auto" w:fill="auto"/>
            <w:noWrap/>
            <w:vAlign w:val="bottom"/>
            <w:hideMark/>
          </w:tcPr>
          <w:p w14:paraId="3493221E"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0B90A8D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r>
      <w:tr w:rsidR="00C519D0" w:rsidRPr="00F120D7" w14:paraId="7FB5CE18" w14:textId="77777777" w:rsidTr="001D6C75">
        <w:trPr>
          <w:gridAfter w:val="2"/>
          <w:wAfter w:w="236" w:type="dxa"/>
          <w:trHeight w:val="7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AD2B3"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6120687"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w:t>
            </w:r>
            <w:r w:rsidRPr="00F120D7">
              <w:rPr>
                <w:rFonts w:ascii="Times New Roman" w:eastAsia="Times New Roman" w:hAnsi="Times New Roman" w:cs="Times New Roman"/>
                <w:b/>
                <w:bCs/>
                <w:color w:val="000000"/>
                <w:lang w:eastAsia="hr-HR"/>
              </w:rPr>
              <w:br/>
              <w:t>31.12.2023.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C91394A"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A4FBA53"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w:t>
            </w:r>
            <w:r w:rsidRPr="00F120D7">
              <w:rPr>
                <w:rFonts w:ascii="Times New Roman" w:eastAsia="Times New Roman" w:hAnsi="Times New Roman" w:cs="Times New Roman"/>
                <w:b/>
                <w:bCs/>
                <w:color w:val="000000"/>
                <w:lang w:eastAsia="hr-HR"/>
              </w:rPr>
              <w:br/>
              <w:t>31.12.2024.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FABF850"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4 / 2</w:t>
            </w:r>
          </w:p>
        </w:tc>
        <w:tc>
          <w:tcPr>
            <w:tcW w:w="992" w:type="dxa"/>
            <w:gridSpan w:val="3"/>
            <w:tcBorders>
              <w:top w:val="single" w:sz="4" w:space="0" w:color="000000"/>
              <w:left w:val="nil"/>
              <w:bottom w:val="single" w:sz="4" w:space="0" w:color="000000"/>
              <w:right w:val="single" w:sz="4" w:space="0" w:color="000000"/>
            </w:tcBorders>
            <w:shd w:val="clear" w:color="auto" w:fill="auto"/>
            <w:vAlign w:val="center"/>
            <w:hideMark/>
          </w:tcPr>
          <w:p w14:paraId="63620022"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r>
      <w:tr w:rsidR="00C519D0" w:rsidRPr="00F120D7" w14:paraId="066D4737" w14:textId="77777777" w:rsidTr="001D6C75">
        <w:trPr>
          <w:gridAfter w:val="2"/>
          <w:wAfter w:w="236" w:type="dxa"/>
          <w:trHeight w:val="28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7CB06CBF"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559" w:type="dxa"/>
            <w:tcBorders>
              <w:top w:val="nil"/>
              <w:left w:val="nil"/>
              <w:bottom w:val="single" w:sz="4" w:space="0" w:color="000000"/>
              <w:right w:val="single" w:sz="4" w:space="0" w:color="000000"/>
            </w:tcBorders>
            <w:shd w:val="clear" w:color="auto" w:fill="auto"/>
            <w:vAlign w:val="center"/>
            <w:hideMark/>
          </w:tcPr>
          <w:p w14:paraId="1748C94F"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60" w:type="dxa"/>
            <w:tcBorders>
              <w:top w:val="nil"/>
              <w:left w:val="nil"/>
              <w:bottom w:val="single" w:sz="4" w:space="0" w:color="000000"/>
              <w:right w:val="single" w:sz="4" w:space="0" w:color="000000"/>
            </w:tcBorders>
            <w:shd w:val="clear" w:color="auto" w:fill="auto"/>
            <w:vAlign w:val="center"/>
            <w:hideMark/>
          </w:tcPr>
          <w:p w14:paraId="5E5FA128"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9" w:type="dxa"/>
            <w:tcBorders>
              <w:top w:val="nil"/>
              <w:left w:val="nil"/>
              <w:bottom w:val="single" w:sz="4" w:space="0" w:color="000000"/>
              <w:right w:val="single" w:sz="4" w:space="0" w:color="000000"/>
            </w:tcBorders>
            <w:shd w:val="clear" w:color="auto" w:fill="auto"/>
            <w:vAlign w:val="center"/>
            <w:hideMark/>
          </w:tcPr>
          <w:p w14:paraId="15B663FC"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2" w:type="dxa"/>
            <w:tcBorders>
              <w:top w:val="nil"/>
              <w:left w:val="nil"/>
              <w:bottom w:val="single" w:sz="4" w:space="0" w:color="000000"/>
              <w:right w:val="single" w:sz="4" w:space="0" w:color="000000"/>
            </w:tcBorders>
            <w:shd w:val="clear" w:color="auto" w:fill="auto"/>
            <w:vAlign w:val="center"/>
            <w:hideMark/>
          </w:tcPr>
          <w:p w14:paraId="112675F8"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0B886026" w14:textId="77777777" w:rsidR="00C519D0" w:rsidRPr="00F120D7" w:rsidRDefault="00C519D0"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C519D0" w:rsidRPr="00F120D7" w14:paraId="4BD59841" w14:textId="77777777" w:rsidTr="001D6C75">
        <w:trPr>
          <w:gridAfter w:val="2"/>
          <w:wAfter w:w="236" w:type="dxa"/>
          <w:trHeight w:val="48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2951B8B6" w14:textId="1E04DCCA" w:rsidR="00C519D0" w:rsidRPr="00F120D7" w:rsidRDefault="00C519D0" w:rsidP="00253F03">
            <w:pPr>
              <w:spacing w:after="0" w:line="240" w:lineRule="auto"/>
              <w:ind w:left="-12"/>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PRIMICI OD FINANCIJSKE IMOVINE I ZADUŽIVANJA</w:t>
            </w:r>
          </w:p>
        </w:tc>
        <w:tc>
          <w:tcPr>
            <w:tcW w:w="1559" w:type="dxa"/>
            <w:tcBorders>
              <w:top w:val="nil"/>
              <w:left w:val="nil"/>
              <w:bottom w:val="single" w:sz="4" w:space="0" w:color="000000"/>
              <w:right w:val="single" w:sz="4" w:space="0" w:color="000000"/>
            </w:tcBorders>
            <w:shd w:val="clear" w:color="auto" w:fill="auto"/>
            <w:vAlign w:val="center"/>
            <w:hideMark/>
          </w:tcPr>
          <w:p w14:paraId="3F27ECA4"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60" w:type="dxa"/>
            <w:tcBorders>
              <w:top w:val="nil"/>
              <w:left w:val="nil"/>
              <w:bottom w:val="single" w:sz="4" w:space="0" w:color="000000"/>
              <w:right w:val="single" w:sz="4" w:space="0" w:color="000000"/>
            </w:tcBorders>
            <w:shd w:val="clear" w:color="auto" w:fill="auto"/>
            <w:vAlign w:val="center"/>
            <w:hideMark/>
          </w:tcPr>
          <w:p w14:paraId="79AE3733"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59" w:type="dxa"/>
            <w:tcBorders>
              <w:top w:val="nil"/>
              <w:left w:val="nil"/>
              <w:bottom w:val="single" w:sz="4" w:space="0" w:color="000000"/>
              <w:right w:val="single" w:sz="4" w:space="0" w:color="000000"/>
            </w:tcBorders>
            <w:shd w:val="clear" w:color="auto" w:fill="auto"/>
            <w:vAlign w:val="center"/>
            <w:hideMark/>
          </w:tcPr>
          <w:p w14:paraId="2B88A7C0"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2" w:type="dxa"/>
            <w:tcBorders>
              <w:top w:val="nil"/>
              <w:left w:val="nil"/>
              <w:bottom w:val="single" w:sz="4" w:space="0" w:color="000000"/>
              <w:right w:val="single" w:sz="4" w:space="0" w:color="000000"/>
            </w:tcBorders>
            <w:shd w:val="clear" w:color="auto" w:fill="auto"/>
            <w:vAlign w:val="center"/>
            <w:hideMark/>
          </w:tcPr>
          <w:p w14:paraId="34982CEB"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4D0007BD"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r>
      <w:tr w:rsidR="00C519D0" w:rsidRPr="00F120D7" w14:paraId="493F6DE8" w14:textId="77777777" w:rsidTr="001D6C75">
        <w:trPr>
          <w:gridAfter w:val="2"/>
          <w:wAfter w:w="236" w:type="dxa"/>
          <w:trHeight w:val="48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5C3ECEDA" w14:textId="5F39BBA8" w:rsidR="00C519D0" w:rsidRPr="00F120D7" w:rsidRDefault="006669F2" w:rsidP="00253F03">
            <w:pPr>
              <w:spacing w:after="0" w:line="240" w:lineRule="auto"/>
              <w:ind w:left="-12"/>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w:t>
            </w:r>
            <w:r w:rsidR="00C519D0" w:rsidRPr="00F120D7">
              <w:rPr>
                <w:rFonts w:ascii="Times New Roman" w:eastAsia="Times New Roman" w:hAnsi="Times New Roman" w:cs="Times New Roman"/>
                <w:color w:val="000000"/>
                <w:lang w:eastAsia="hr-HR"/>
              </w:rPr>
              <w:t>ZDACI ZA FINANCIJSKU IMOVINU I OTPLATE ZAJMOVA</w:t>
            </w:r>
          </w:p>
        </w:tc>
        <w:tc>
          <w:tcPr>
            <w:tcW w:w="1559" w:type="dxa"/>
            <w:tcBorders>
              <w:top w:val="nil"/>
              <w:left w:val="nil"/>
              <w:bottom w:val="single" w:sz="4" w:space="0" w:color="000000"/>
              <w:right w:val="single" w:sz="4" w:space="0" w:color="000000"/>
            </w:tcBorders>
            <w:shd w:val="clear" w:color="auto" w:fill="auto"/>
            <w:vAlign w:val="center"/>
            <w:hideMark/>
          </w:tcPr>
          <w:p w14:paraId="709267D8"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60" w:type="dxa"/>
            <w:tcBorders>
              <w:top w:val="nil"/>
              <w:left w:val="nil"/>
              <w:bottom w:val="single" w:sz="4" w:space="0" w:color="000000"/>
              <w:right w:val="single" w:sz="4" w:space="0" w:color="000000"/>
            </w:tcBorders>
            <w:shd w:val="clear" w:color="auto" w:fill="auto"/>
            <w:vAlign w:val="center"/>
            <w:hideMark/>
          </w:tcPr>
          <w:p w14:paraId="3BA6C3D4"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59" w:type="dxa"/>
            <w:tcBorders>
              <w:top w:val="nil"/>
              <w:left w:val="nil"/>
              <w:bottom w:val="single" w:sz="4" w:space="0" w:color="000000"/>
              <w:right w:val="single" w:sz="4" w:space="0" w:color="000000"/>
            </w:tcBorders>
            <w:shd w:val="clear" w:color="auto" w:fill="auto"/>
            <w:vAlign w:val="center"/>
            <w:hideMark/>
          </w:tcPr>
          <w:p w14:paraId="07B36753"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2" w:type="dxa"/>
            <w:tcBorders>
              <w:top w:val="nil"/>
              <w:left w:val="nil"/>
              <w:bottom w:val="single" w:sz="4" w:space="0" w:color="000000"/>
              <w:right w:val="single" w:sz="4" w:space="0" w:color="000000"/>
            </w:tcBorders>
            <w:shd w:val="clear" w:color="auto" w:fill="auto"/>
            <w:vAlign w:val="center"/>
            <w:hideMark/>
          </w:tcPr>
          <w:p w14:paraId="088F7D53"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03C7860A" w14:textId="77777777" w:rsidR="00C519D0" w:rsidRPr="00F120D7" w:rsidRDefault="00C519D0"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r>
      <w:tr w:rsidR="00C519D0" w:rsidRPr="00F120D7" w14:paraId="74368388" w14:textId="77777777" w:rsidTr="001D6C75">
        <w:trPr>
          <w:gridAfter w:val="2"/>
          <w:wAfter w:w="236" w:type="dxa"/>
          <w:trHeight w:val="495"/>
        </w:trPr>
        <w:tc>
          <w:tcPr>
            <w:tcW w:w="2405" w:type="dxa"/>
            <w:tcBorders>
              <w:top w:val="nil"/>
              <w:left w:val="single" w:sz="4" w:space="0" w:color="000000"/>
              <w:bottom w:val="single" w:sz="4" w:space="0" w:color="000000"/>
              <w:right w:val="single" w:sz="4" w:space="0" w:color="000000"/>
            </w:tcBorders>
            <w:shd w:val="clear" w:color="000000" w:fill="DCDCDC"/>
            <w:vAlign w:val="center"/>
            <w:hideMark/>
          </w:tcPr>
          <w:p w14:paraId="216830E7" w14:textId="77777777" w:rsidR="00C519D0" w:rsidRPr="00F120D7" w:rsidRDefault="00C519D0" w:rsidP="00253F03">
            <w:pPr>
              <w:spacing w:after="0" w:line="240" w:lineRule="auto"/>
              <w:ind w:left="-12"/>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NETO FINANCIRANJE</w:t>
            </w:r>
          </w:p>
        </w:tc>
        <w:tc>
          <w:tcPr>
            <w:tcW w:w="1559" w:type="dxa"/>
            <w:tcBorders>
              <w:top w:val="nil"/>
              <w:left w:val="nil"/>
              <w:bottom w:val="single" w:sz="4" w:space="0" w:color="000000"/>
              <w:right w:val="single" w:sz="4" w:space="0" w:color="000000"/>
            </w:tcBorders>
            <w:shd w:val="clear" w:color="000000" w:fill="DCDCDC"/>
            <w:vAlign w:val="center"/>
            <w:hideMark/>
          </w:tcPr>
          <w:p w14:paraId="3528DCAB"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1560" w:type="dxa"/>
            <w:tcBorders>
              <w:top w:val="nil"/>
              <w:left w:val="nil"/>
              <w:bottom w:val="single" w:sz="4" w:space="0" w:color="000000"/>
              <w:right w:val="single" w:sz="4" w:space="0" w:color="000000"/>
            </w:tcBorders>
            <w:shd w:val="clear" w:color="000000" w:fill="DCDCDC"/>
            <w:vAlign w:val="center"/>
            <w:hideMark/>
          </w:tcPr>
          <w:p w14:paraId="7BA66249"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1559" w:type="dxa"/>
            <w:tcBorders>
              <w:top w:val="nil"/>
              <w:left w:val="nil"/>
              <w:bottom w:val="single" w:sz="4" w:space="0" w:color="000000"/>
              <w:right w:val="single" w:sz="4" w:space="0" w:color="000000"/>
            </w:tcBorders>
            <w:shd w:val="clear" w:color="000000" w:fill="DCDCDC"/>
            <w:vAlign w:val="center"/>
            <w:hideMark/>
          </w:tcPr>
          <w:p w14:paraId="39158660"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92" w:type="dxa"/>
            <w:tcBorders>
              <w:top w:val="nil"/>
              <w:left w:val="nil"/>
              <w:bottom w:val="single" w:sz="4" w:space="0" w:color="000000"/>
              <w:right w:val="single" w:sz="4" w:space="0" w:color="000000"/>
            </w:tcBorders>
            <w:shd w:val="clear" w:color="000000" w:fill="DCDCDC"/>
            <w:vAlign w:val="center"/>
            <w:hideMark/>
          </w:tcPr>
          <w:p w14:paraId="09D0F475"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92" w:type="dxa"/>
            <w:gridSpan w:val="3"/>
            <w:tcBorders>
              <w:top w:val="nil"/>
              <w:left w:val="nil"/>
              <w:bottom w:val="single" w:sz="4" w:space="0" w:color="000000"/>
              <w:right w:val="single" w:sz="4" w:space="0" w:color="000000"/>
            </w:tcBorders>
            <w:shd w:val="clear" w:color="000000" w:fill="DCDCDC"/>
            <w:vAlign w:val="center"/>
            <w:hideMark/>
          </w:tcPr>
          <w:p w14:paraId="303EEF57"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r>
      <w:tr w:rsidR="00413EE5" w:rsidRPr="00F120D7" w14:paraId="41722870" w14:textId="77777777" w:rsidTr="001D6C75">
        <w:trPr>
          <w:gridAfter w:val="1"/>
          <w:wAfter w:w="195" w:type="dxa"/>
          <w:trHeight w:val="345"/>
        </w:trPr>
        <w:tc>
          <w:tcPr>
            <w:tcW w:w="2405" w:type="dxa"/>
            <w:tcBorders>
              <w:top w:val="nil"/>
              <w:left w:val="nil"/>
              <w:bottom w:val="nil"/>
              <w:right w:val="nil"/>
            </w:tcBorders>
            <w:shd w:val="clear" w:color="auto" w:fill="auto"/>
            <w:noWrap/>
            <w:vAlign w:val="bottom"/>
            <w:hideMark/>
          </w:tcPr>
          <w:p w14:paraId="6A60ED38"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hideMark/>
          </w:tcPr>
          <w:p w14:paraId="23795E14"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60" w:type="dxa"/>
            <w:tcBorders>
              <w:top w:val="nil"/>
              <w:left w:val="nil"/>
              <w:bottom w:val="nil"/>
              <w:right w:val="nil"/>
            </w:tcBorders>
            <w:shd w:val="clear" w:color="auto" w:fill="auto"/>
            <w:noWrap/>
            <w:vAlign w:val="bottom"/>
            <w:hideMark/>
          </w:tcPr>
          <w:p w14:paraId="021AEBD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hideMark/>
          </w:tcPr>
          <w:p w14:paraId="5DD6C1B7"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992" w:type="dxa"/>
            <w:tcBorders>
              <w:top w:val="nil"/>
              <w:left w:val="nil"/>
              <w:bottom w:val="nil"/>
              <w:right w:val="nil"/>
            </w:tcBorders>
            <w:shd w:val="clear" w:color="auto" w:fill="auto"/>
            <w:noWrap/>
            <w:vAlign w:val="bottom"/>
            <w:hideMark/>
          </w:tcPr>
          <w:p w14:paraId="12D27A2E"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561" w:type="dxa"/>
            <w:tcBorders>
              <w:top w:val="nil"/>
              <w:left w:val="nil"/>
              <w:bottom w:val="nil"/>
              <w:right w:val="nil"/>
            </w:tcBorders>
            <w:shd w:val="clear" w:color="auto" w:fill="auto"/>
            <w:noWrap/>
            <w:vAlign w:val="bottom"/>
            <w:hideMark/>
          </w:tcPr>
          <w:p w14:paraId="2FA5E205"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tcBorders>
              <w:top w:val="nil"/>
              <w:left w:val="nil"/>
              <w:bottom w:val="nil"/>
              <w:right w:val="nil"/>
            </w:tcBorders>
            <w:shd w:val="clear" w:color="auto" w:fill="auto"/>
            <w:noWrap/>
            <w:vAlign w:val="bottom"/>
            <w:hideMark/>
          </w:tcPr>
          <w:p w14:paraId="09DCB336"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72D3C67A"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r>
      <w:tr w:rsidR="00413EE5" w:rsidRPr="00F120D7" w14:paraId="5B096682" w14:textId="77777777" w:rsidTr="001D6C75">
        <w:trPr>
          <w:gridAfter w:val="4"/>
          <w:wAfter w:w="667" w:type="dxa"/>
          <w:trHeight w:val="255"/>
        </w:trPr>
        <w:tc>
          <w:tcPr>
            <w:tcW w:w="8636" w:type="dxa"/>
            <w:gridSpan w:val="6"/>
            <w:tcBorders>
              <w:top w:val="nil"/>
              <w:left w:val="nil"/>
              <w:bottom w:val="nil"/>
              <w:right w:val="nil"/>
            </w:tcBorders>
            <w:shd w:val="clear" w:color="auto" w:fill="auto"/>
            <w:hideMark/>
          </w:tcPr>
          <w:p w14:paraId="2A069E46" w14:textId="77777777" w:rsidR="00413EE5"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C) PRENESENI VIŠAK ILI PRENESENI MANJAK</w:t>
            </w:r>
          </w:p>
          <w:p w14:paraId="53861CBD" w14:textId="77777777" w:rsidR="00C25598" w:rsidRPr="00F120D7" w:rsidRDefault="00C25598" w:rsidP="00253F03">
            <w:pPr>
              <w:spacing w:after="0" w:line="240" w:lineRule="auto"/>
              <w:ind w:left="-12"/>
              <w:jc w:val="center"/>
              <w:rPr>
                <w:rFonts w:ascii="Times New Roman" w:eastAsia="Times New Roman" w:hAnsi="Times New Roman" w:cs="Times New Roman"/>
                <w:b/>
                <w:bCs/>
                <w:color w:val="000000"/>
                <w:lang w:eastAsia="hr-HR"/>
              </w:rPr>
            </w:pPr>
          </w:p>
        </w:tc>
      </w:tr>
      <w:tr w:rsidR="00413EE5" w:rsidRPr="00F120D7" w14:paraId="0D48E815" w14:textId="77777777" w:rsidTr="001D6C75">
        <w:trPr>
          <w:gridAfter w:val="1"/>
          <w:wAfter w:w="195" w:type="dxa"/>
          <w:trHeight w:val="135"/>
        </w:trPr>
        <w:tc>
          <w:tcPr>
            <w:tcW w:w="2405" w:type="dxa"/>
            <w:tcBorders>
              <w:top w:val="nil"/>
              <w:left w:val="nil"/>
              <w:bottom w:val="nil"/>
              <w:right w:val="nil"/>
            </w:tcBorders>
            <w:shd w:val="clear" w:color="auto" w:fill="auto"/>
            <w:noWrap/>
            <w:vAlign w:val="bottom"/>
            <w:hideMark/>
          </w:tcPr>
          <w:p w14:paraId="12AE7FFE"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p>
        </w:tc>
        <w:tc>
          <w:tcPr>
            <w:tcW w:w="1559" w:type="dxa"/>
            <w:tcBorders>
              <w:top w:val="nil"/>
              <w:left w:val="nil"/>
              <w:bottom w:val="nil"/>
              <w:right w:val="nil"/>
            </w:tcBorders>
            <w:shd w:val="clear" w:color="auto" w:fill="auto"/>
            <w:noWrap/>
            <w:vAlign w:val="bottom"/>
            <w:hideMark/>
          </w:tcPr>
          <w:p w14:paraId="4B70E2ED"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60" w:type="dxa"/>
            <w:tcBorders>
              <w:top w:val="nil"/>
              <w:left w:val="nil"/>
              <w:bottom w:val="nil"/>
              <w:right w:val="nil"/>
            </w:tcBorders>
            <w:shd w:val="clear" w:color="auto" w:fill="auto"/>
            <w:noWrap/>
            <w:vAlign w:val="bottom"/>
            <w:hideMark/>
          </w:tcPr>
          <w:p w14:paraId="44BE8C04"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hideMark/>
          </w:tcPr>
          <w:p w14:paraId="5D0E6133"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992" w:type="dxa"/>
            <w:tcBorders>
              <w:top w:val="nil"/>
              <w:left w:val="nil"/>
              <w:bottom w:val="nil"/>
              <w:right w:val="nil"/>
            </w:tcBorders>
            <w:shd w:val="clear" w:color="auto" w:fill="auto"/>
            <w:noWrap/>
            <w:vAlign w:val="bottom"/>
            <w:hideMark/>
          </w:tcPr>
          <w:p w14:paraId="0BB3C303"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561" w:type="dxa"/>
            <w:tcBorders>
              <w:top w:val="nil"/>
              <w:left w:val="nil"/>
              <w:bottom w:val="nil"/>
              <w:right w:val="nil"/>
            </w:tcBorders>
            <w:shd w:val="clear" w:color="auto" w:fill="auto"/>
            <w:noWrap/>
            <w:vAlign w:val="bottom"/>
            <w:hideMark/>
          </w:tcPr>
          <w:p w14:paraId="0A4D09A2"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tcBorders>
              <w:top w:val="nil"/>
              <w:left w:val="nil"/>
              <w:bottom w:val="nil"/>
              <w:right w:val="nil"/>
            </w:tcBorders>
            <w:shd w:val="clear" w:color="auto" w:fill="auto"/>
            <w:noWrap/>
            <w:vAlign w:val="bottom"/>
            <w:hideMark/>
          </w:tcPr>
          <w:p w14:paraId="48774087"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21F3491F" w14:textId="77777777" w:rsidR="00413EE5" w:rsidRPr="00F120D7" w:rsidRDefault="00413EE5" w:rsidP="00253F03">
            <w:pPr>
              <w:spacing w:after="0" w:line="240" w:lineRule="auto"/>
              <w:ind w:left="-12"/>
              <w:rPr>
                <w:rFonts w:ascii="Times New Roman" w:eastAsia="Times New Roman" w:hAnsi="Times New Roman" w:cs="Times New Roman"/>
                <w:lang w:eastAsia="hr-HR"/>
              </w:rPr>
            </w:pPr>
          </w:p>
        </w:tc>
      </w:tr>
      <w:tr w:rsidR="00413EE5" w:rsidRPr="00F120D7" w14:paraId="630AE097" w14:textId="77777777" w:rsidTr="001D6C75">
        <w:trPr>
          <w:trHeight w:val="73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C1B7C"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2B7442F"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w:t>
            </w:r>
            <w:r w:rsidRPr="00F120D7">
              <w:rPr>
                <w:rFonts w:ascii="Times New Roman" w:eastAsia="Times New Roman" w:hAnsi="Times New Roman" w:cs="Times New Roman"/>
                <w:b/>
                <w:bCs/>
                <w:color w:val="000000"/>
                <w:lang w:eastAsia="hr-HR"/>
              </w:rPr>
              <w:br/>
              <w:t>31.12.2023.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BBF7445"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ADC79EC"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w:t>
            </w:r>
            <w:r w:rsidRPr="00F120D7">
              <w:rPr>
                <w:rFonts w:ascii="Times New Roman" w:eastAsia="Times New Roman" w:hAnsi="Times New Roman" w:cs="Times New Roman"/>
                <w:b/>
                <w:bCs/>
                <w:color w:val="000000"/>
                <w:lang w:eastAsia="hr-HR"/>
              </w:rPr>
              <w:br/>
              <w:t>31.12.2024.</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73E1A24"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2</w:t>
            </w:r>
          </w:p>
        </w:tc>
        <w:tc>
          <w:tcPr>
            <w:tcW w:w="992" w:type="dxa"/>
            <w:gridSpan w:val="3"/>
            <w:tcBorders>
              <w:top w:val="single" w:sz="4" w:space="0" w:color="000000"/>
              <w:left w:val="nil"/>
              <w:bottom w:val="single" w:sz="4" w:space="0" w:color="000000"/>
              <w:right w:val="single" w:sz="4" w:space="0" w:color="000000"/>
            </w:tcBorders>
            <w:shd w:val="clear" w:color="auto" w:fill="auto"/>
            <w:vAlign w:val="center"/>
            <w:hideMark/>
          </w:tcPr>
          <w:p w14:paraId="547DB4E3"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c>
          <w:tcPr>
            <w:tcW w:w="236" w:type="dxa"/>
            <w:gridSpan w:val="2"/>
            <w:tcBorders>
              <w:top w:val="nil"/>
              <w:left w:val="nil"/>
              <w:bottom w:val="nil"/>
              <w:right w:val="nil"/>
            </w:tcBorders>
            <w:shd w:val="clear" w:color="auto" w:fill="auto"/>
            <w:noWrap/>
            <w:vAlign w:val="bottom"/>
            <w:hideMark/>
          </w:tcPr>
          <w:p w14:paraId="75915230"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p>
        </w:tc>
      </w:tr>
      <w:tr w:rsidR="00413EE5" w:rsidRPr="00F120D7" w14:paraId="0F68B366" w14:textId="77777777" w:rsidTr="001D6C75">
        <w:trPr>
          <w:trHeight w:val="28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356E316"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559" w:type="dxa"/>
            <w:tcBorders>
              <w:top w:val="nil"/>
              <w:left w:val="nil"/>
              <w:bottom w:val="single" w:sz="4" w:space="0" w:color="000000"/>
              <w:right w:val="single" w:sz="4" w:space="0" w:color="000000"/>
            </w:tcBorders>
            <w:shd w:val="clear" w:color="auto" w:fill="auto"/>
            <w:vAlign w:val="center"/>
            <w:hideMark/>
          </w:tcPr>
          <w:p w14:paraId="2752A1DA"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60" w:type="dxa"/>
            <w:tcBorders>
              <w:top w:val="nil"/>
              <w:left w:val="nil"/>
              <w:bottom w:val="single" w:sz="4" w:space="0" w:color="000000"/>
              <w:right w:val="single" w:sz="4" w:space="0" w:color="000000"/>
            </w:tcBorders>
            <w:shd w:val="clear" w:color="auto" w:fill="auto"/>
            <w:vAlign w:val="center"/>
            <w:hideMark/>
          </w:tcPr>
          <w:p w14:paraId="28180063"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9" w:type="dxa"/>
            <w:tcBorders>
              <w:top w:val="nil"/>
              <w:left w:val="nil"/>
              <w:bottom w:val="single" w:sz="4" w:space="0" w:color="000000"/>
              <w:right w:val="single" w:sz="4" w:space="0" w:color="000000"/>
            </w:tcBorders>
            <w:shd w:val="clear" w:color="auto" w:fill="auto"/>
            <w:vAlign w:val="center"/>
            <w:hideMark/>
          </w:tcPr>
          <w:p w14:paraId="3BD3A7CA"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2" w:type="dxa"/>
            <w:tcBorders>
              <w:top w:val="nil"/>
              <w:left w:val="nil"/>
              <w:bottom w:val="single" w:sz="4" w:space="0" w:color="000000"/>
              <w:right w:val="single" w:sz="4" w:space="0" w:color="000000"/>
            </w:tcBorders>
            <w:shd w:val="clear" w:color="auto" w:fill="auto"/>
            <w:vAlign w:val="center"/>
            <w:hideMark/>
          </w:tcPr>
          <w:p w14:paraId="41D8B159"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31186951"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c>
          <w:tcPr>
            <w:tcW w:w="236" w:type="dxa"/>
            <w:gridSpan w:val="2"/>
            <w:tcBorders>
              <w:top w:val="nil"/>
              <w:left w:val="nil"/>
              <w:bottom w:val="nil"/>
              <w:right w:val="nil"/>
            </w:tcBorders>
            <w:shd w:val="clear" w:color="auto" w:fill="auto"/>
            <w:noWrap/>
            <w:vAlign w:val="bottom"/>
            <w:hideMark/>
          </w:tcPr>
          <w:p w14:paraId="108D14EE" w14:textId="77777777" w:rsidR="00413EE5" w:rsidRPr="00F120D7" w:rsidRDefault="00413EE5" w:rsidP="00253F03">
            <w:pPr>
              <w:spacing w:after="0" w:line="240" w:lineRule="auto"/>
              <w:ind w:left="-12"/>
              <w:jc w:val="center"/>
              <w:rPr>
                <w:rFonts w:ascii="Times New Roman" w:eastAsia="Times New Roman" w:hAnsi="Times New Roman" w:cs="Times New Roman"/>
                <w:b/>
                <w:bCs/>
                <w:color w:val="000000"/>
                <w:lang w:eastAsia="hr-HR"/>
              </w:rPr>
            </w:pPr>
          </w:p>
        </w:tc>
      </w:tr>
      <w:tr w:rsidR="00413EE5" w:rsidRPr="00F120D7" w14:paraId="70784341" w14:textId="77777777" w:rsidTr="001D6C75">
        <w:trPr>
          <w:trHeight w:val="480"/>
        </w:trPr>
        <w:tc>
          <w:tcPr>
            <w:tcW w:w="2405" w:type="dxa"/>
            <w:tcBorders>
              <w:top w:val="nil"/>
              <w:left w:val="single" w:sz="4" w:space="0" w:color="000000"/>
              <w:bottom w:val="single" w:sz="4" w:space="0" w:color="000000"/>
              <w:right w:val="single" w:sz="4" w:space="0" w:color="000000"/>
            </w:tcBorders>
            <w:shd w:val="clear" w:color="000000" w:fill="A9A9A9"/>
            <w:vAlign w:val="center"/>
            <w:hideMark/>
          </w:tcPr>
          <w:p w14:paraId="3EB707BA" w14:textId="6BF39565" w:rsidR="00413EE5" w:rsidRPr="00F120D7" w:rsidRDefault="00413EE5" w:rsidP="00253F03">
            <w:pPr>
              <w:spacing w:after="0" w:line="240" w:lineRule="auto"/>
              <w:ind w:left="-12"/>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UKUPAN DONOS VIŠKA / MANJKA IZ PRETHODNIH GODINA*</w:t>
            </w:r>
          </w:p>
        </w:tc>
        <w:tc>
          <w:tcPr>
            <w:tcW w:w="1559" w:type="dxa"/>
            <w:tcBorders>
              <w:top w:val="nil"/>
              <w:left w:val="nil"/>
              <w:bottom w:val="single" w:sz="4" w:space="0" w:color="000000"/>
              <w:right w:val="single" w:sz="4" w:space="0" w:color="000000"/>
            </w:tcBorders>
            <w:shd w:val="clear" w:color="000000" w:fill="A9A9A9"/>
            <w:vAlign w:val="center"/>
            <w:hideMark/>
          </w:tcPr>
          <w:p w14:paraId="0EB042D7" w14:textId="4558F69B" w:rsidR="00413EE5" w:rsidRPr="00F120D7" w:rsidRDefault="009C48E1" w:rsidP="00253F03">
            <w:pPr>
              <w:spacing w:after="0" w:line="240" w:lineRule="auto"/>
              <w:ind w:left="-12"/>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-64.812,11</w:t>
            </w:r>
            <w:r w:rsidR="00413EE5" w:rsidRPr="00F120D7">
              <w:rPr>
                <w:rFonts w:ascii="Times New Roman" w:eastAsia="Times New Roman" w:hAnsi="Times New Roman" w:cs="Times New Roman"/>
                <w:color w:val="000000"/>
                <w:lang w:eastAsia="hr-HR"/>
              </w:rPr>
              <w:t> </w:t>
            </w:r>
          </w:p>
        </w:tc>
        <w:tc>
          <w:tcPr>
            <w:tcW w:w="1560" w:type="dxa"/>
            <w:tcBorders>
              <w:top w:val="nil"/>
              <w:left w:val="nil"/>
              <w:bottom w:val="single" w:sz="4" w:space="0" w:color="000000"/>
              <w:right w:val="single" w:sz="4" w:space="0" w:color="000000"/>
            </w:tcBorders>
            <w:shd w:val="clear" w:color="000000" w:fill="A9A9A9"/>
            <w:vAlign w:val="center"/>
            <w:hideMark/>
          </w:tcPr>
          <w:p w14:paraId="1B00E489" w14:textId="2A9AF5BF" w:rsidR="00413EE5" w:rsidRPr="00F120D7" w:rsidRDefault="00413EE5" w:rsidP="00253F03">
            <w:pPr>
              <w:spacing w:after="0" w:line="240" w:lineRule="auto"/>
              <w:ind w:left="-12"/>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66.167,00</w:t>
            </w:r>
          </w:p>
        </w:tc>
        <w:tc>
          <w:tcPr>
            <w:tcW w:w="1559" w:type="dxa"/>
            <w:tcBorders>
              <w:top w:val="nil"/>
              <w:left w:val="nil"/>
              <w:bottom w:val="single" w:sz="4" w:space="0" w:color="000000"/>
              <w:right w:val="single" w:sz="4" w:space="0" w:color="000000"/>
            </w:tcBorders>
            <w:shd w:val="clear" w:color="000000" w:fill="A9A9A9"/>
            <w:vAlign w:val="center"/>
            <w:hideMark/>
          </w:tcPr>
          <w:p w14:paraId="0C4C189D" w14:textId="33F5DBE5" w:rsidR="00413EE5" w:rsidRPr="00F120D7" w:rsidRDefault="009C48E1" w:rsidP="00253F03">
            <w:pPr>
              <w:spacing w:after="0" w:line="240" w:lineRule="auto"/>
              <w:ind w:left="-12"/>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164.635,45</w:t>
            </w:r>
            <w:r w:rsidR="00413EE5" w:rsidRPr="00F120D7">
              <w:rPr>
                <w:rFonts w:ascii="Times New Roman" w:eastAsia="Times New Roman" w:hAnsi="Times New Roman" w:cs="Times New Roman"/>
                <w:color w:val="000000"/>
                <w:lang w:eastAsia="hr-HR"/>
              </w:rPr>
              <w:t> </w:t>
            </w:r>
          </w:p>
        </w:tc>
        <w:tc>
          <w:tcPr>
            <w:tcW w:w="992" w:type="dxa"/>
            <w:tcBorders>
              <w:top w:val="nil"/>
              <w:left w:val="nil"/>
              <w:bottom w:val="single" w:sz="4" w:space="0" w:color="000000"/>
              <w:right w:val="single" w:sz="4" w:space="0" w:color="000000"/>
            </w:tcBorders>
            <w:shd w:val="clear" w:color="000000" w:fill="A9A9A9"/>
            <w:vAlign w:val="center"/>
            <w:hideMark/>
          </w:tcPr>
          <w:p w14:paraId="5E590564" w14:textId="46C9D479" w:rsidR="00413EE5" w:rsidRPr="00F120D7" w:rsidRDefault="009C48E1" w:rsidP="00253F03">
            <w:pPr>
              <w:spacing w:after="0" w:line="240" w:lineRule="auto"/>
              <w:ind w:left="-12"/>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-254,02</w:t>
            </w:r>
          </w:p>
        </w:tc>
        <w:tc>
          <w:tcPr>
            <w:tcW w:w="992" w:type="dxa"/>
            <w:gridSpan w:val="3"/>
            <w:tcBorders>
              <w:top w:val="nil"/>
              <w:left w:val="nil"/>
              <w:bottom w:val="single" w:sz="4" w:space="0" w:color="000000"/>
              <w:right w:val="single" w:sz="4" w:space="0" w:color="000000"/>
            </w:tcBorders>
            <w:shd w:val="clear" w:color="000000" w:fill="A9A9A9"/>
            <w:vAlign w:val="center"/>
            <w:hideMark/>
          </w:tcPr>
          <w:p w14:paraId="1830BCAD" w14:textId="7CF8BAAD" w:rsidR="00413EE5" w:rsidRPr="00F120D7" w:rsidRDefault="009C48E1" w:rsidP="00253F03">
            <w:pPr>
              <w:spacing w:after="0" w:line="240" w:lineRule="auto"/>
              <w:ind w:left="-12"/>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248,82</w:t>
            </w:r>
          </w:p>
        </w:tc>
        <w:tc>
          <w:tcPr>
            <w:tcW w:w="236" w:type="dxa"/>
            <w:gridSpan w:val="2"/>
            <w:tcBorders>
              <w:top w:val="nil"/>
              <w:left w:val="nil"/>
              <w:bottom w:val="nil"/>
              <w:right w:val="nil"/>
            </w:tcBorders>
            <w:shd w:val="clear" w:color="auto" w:fill="auto"/>
            <w:noWrap/>
            <w:vAlign w:val="bottom"/>
            <w:hideMark/>
          </w:tcPr>
          <w:p w14:paraId="20C2E92E" w14:textId="77777777" w:rsidR="00413EE5" w:rsidRPr="00F120D7" w:rsidRDefault="00413EE5" w:rsidP="00253F03">
            <w:pPr>
              <w:spacing w:after="0" w:line="240" w:lineRule="auto"/>
              <w:ind w:left="-12"/>
              <w:jc w:val="right"/>
              <w:rPr>
                <w:rFonts w:ascii="Times New Roman" w:eastAsia="Times New Roman" w:hAnsi="Times New Roman" w:cs="Times New Roman"/>
                <w:color w:val="000000"/>
                <w:lang w:eastAsia="hr-HR"/>
              </w:rPr>
            </w:pPr>
          </w:p>
        </w:tc>
      </w:tr>
      <w:tr w:rsidR="00413EE5" w:rsidRPr="00F120D7" w14:paraId="63761542" w14:textId="77777777" w:rsidTr="001D6C75">
        <w:trPr>
          <w:trHeight w:val="480"/>
        </w:trPr>
        <w:tc>
          <w:tcPr>
            <w:tcW w:w="2405" w:type="dxa"/>
            <w:tcBorders>
              <w:top w:val="nil"/>
              <w:left w:val="single" w:sz="4" w:space="0" w:color="000000"/>
              <w:bottom w:val="single" w:sz="4" w:space="0" w:color="000000"/>
              <w:right w:val="single" w:sz="4" w:space="0" w:color="000000"/>
            </w:tcBorders>
            <w:shd w:val="clear" w:color="000000" w:fill="DCDCDC"/>
            <w:vAlign w:val="center"/>
            <w:hideMark/>
          </w:tcPr>
          <w:p w14:paraId="50B901A2" w14:textId="04A2C058" w:rsidR="00413EE5" w:rsidRPr="00F120D7" w:rsidRDefault="00413EE5" w:rsidP="00253F03">
            <w:pPr>
              <w:spacing w:after="0" w:line="240" w:lineRule="auto"/>
              <w:ind w:left="-12"/>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VIŠAK / MANJAK IZ PRETHODNIH GODINA KOJI ĆE SE RASPOREDITI / POKRITI</w:t>
            </w:r>
          </w:p>
        </w:tc>
        <w:tc>
          <w:tcPr>
            <w:tcW w:w="1559" w:type="dxa"/>
            <w:tcBorders>
              <w:top w:val="nil"/>
              <w:left w:val="nil"/>
              <w:bottom w:val="single" w:sz="4" w:space="0" w:color="000000"/>
              <w:right w:val="single" w:sz="4" w:space="0" w:color="000000"/>
            </w:tcBorders>
            <w:shd w:val="clear" w:color="000000" w:fill="DCDCDC"/>
            <w:vAlign w:val="center"/>
            <w:hideMark/>
          </w:tcPr>
          <w:p w14:paraId="648088C7" w14:textId="0D5827A8" w:rsidR="00413EE5" w:rsidRPr="00F120D7" w:rsidRDefault="009C48E1" w:rsidP="00253F03">
            <w:pPr>
              <w:spacing w:after="0" w:line="240" w:lineRule="auto"/>
              <w:ind w:left="-12"/>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-66.166,21</w:t>
            </w:r>
            <w:r w:rsidR="00413EE5" w:rsidRPr="00F120D7">
              <w:rPr>
                <w:rFonts w:ascii="Times New Roman" w:eastAsia="Times New Roman" w:hAnsi="Times New Roman" w:cs="Times New Roman"/>
                <w:b/>
                <w:bCs/>
                <w:color w:val="000000"/>
                <w:lang w:eastAsia="hr-HR"/>
              </w:rPr>
              <w:t> </w:t>
            </w:r>
          </w:p>
        </w:tc>
        <w:tc>
          <w:tcPr>
            <w:tcW w:w="1560" w:type="dxa"/>
            <w:tcBorders>
              <w:top w:val="nil"/>
              <w:left w:val="nil"/>
              <w:bottom w:val="single" w:sz="4" w:space="0" w:color="000000"/>
              <w:right w:val="single" w:sz="4" w:space="0" w:color="000000"/>
            </w:tcBorders>
            <w:shd w:val="clear" w:color="000000" w:fill="DCDCDC"/>
            <w:vAlign w:val="center"/>
            <w:hideMark/>
          </w:tcPr>
          <w:p w14:paraId="320C2DD5" w14:textId="15D26819" w:rsidR="00413EE5" w:rsidRPr="00F120D7" w:rsidRDefault="00413EE5"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66.167,00</w:t>
            </w:r>
          </w:p>
        </w:tc>
        <w:tc>
          <w:tcPr>
            <w:tcW w:w="1559" w:type="dxa"/>
            <w:tcBorders>
              <w:top w:val="nil"/>
              <w:left w:val="nil"/>
              <w:bottom w:val="single" w:sz="4" w:space="0" w:color="000000"/>
              <w:right w:val="single" w:sz="4" w:space="0" w:color="000000"/>
            </w:tcBorders>
            <w:shd w:val="clear" w:color="000000" w:fill="DCDCDC"/>
            <w:vAlign w:val="center"/>
            <w:hideMark/>
          </w:tcPr>
          <w:p w14:paraId="184721AB" w14:textId="1FB0E83F" w:rsidR="00413EE5" w:rsidRPr="00F120D7" w:rsidRDefault="009C48E1" w:rsidP="00253F03">
            <w:pPr>
              <w:spacing w:after="0" w:line="240" w:lineRule="auto"/>
              <w:ind w:left="-12"/>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-77.107,12</w:t>
            </w:r>
            <w:r w:rsidR="00413EE5" w:rsidRPr="00F120D7">
              <w:rPr>
                <w:rFonts w:ascii="Times New Roman" w:eastAsia="Times New Roman" w:hAnsi="Times New Roman" w:cs="Times New Roman"/>
                <w:b/>
                <w:bCs/>
                <w:color w:val="000000"/>
                <w:lang w:eastAsia="hr-HR"/>
              </w:rPr>
              <w:t> </w:t>
            </w:r>
          </w:p>
        </w:tc>
        <w:tc>
          <w:tcPr>
            <w:tcW w:w="992" w:type="dxa"/>
            <w:tcBorders>
              <w:top w:val="nil"/>
              <w:left w:val="nil"/>
              <w:bottom w:val="single" w:sz="4" w:space="0" w:color="000000"/>
              <w:right w:val="single" w:sz="4" w:space="0" w:color="000000"/>
            </w:tcBorders>
            <w:shd w:val="clear" w:color="000000" w:fill="DCDCDC"/>
            <w:vAlign w:val="center"/>
            <w:hideMark/>
          </w:tcPr>
          <w:p w14:paraId="7BE35610" w14:textId="7CD11F5F" w:rsidR="00413EE5" w:rsidRPr="00F120D7" w:rsidRDefault="009C48E1" w:rsidP="00253F03">
            <w:pPr>
              <w:spacing w:after="0" w:line="240" w:lineRule="auto"/>
              <w:ind w:left="-12"/>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116,54</w:t>
            </w:r>
          </w:p>
        </w:tc>
        <w:tc>
          <w:tcPr>
            <w:tcW w:w="992" w:type="dxa"/>
            <w:gridSpan w:val="3"/>
            <w:tcBorders>
              <w:top w:val="nil"/>
              <w:left w:val="nil"/>
              <w:bottom w:val="single" w:sz="4" w:space="0" w:color="000000"/>
              <w:right w:val="single" w:sz="4" w:space="0" w:color="000000"/>
            </w:tcBorders>
            <w:shd w:val="clear" w:color="000000" w:fill="DCDCDC"/>
            <w:vAlign w:val="center"/>
            <w:hideMark/>
          </w:tcPr>
          <w:p w14:paraId="5B69A5D0" w14:textId="00D5FCEA" w:rsidR="00413EE5" w:rsidRPr="00F120D7" w:rsidRDefault="009C48E1" w:rsidP="00253F03">
            <w:pPr>
              <w:spacing w:after="0" w:line="240" w:lineRule="auto"/>
              <w:ind w:left="-12"/>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116,54</w:t>
            </w:r>
          </w:p>
        </w:tc>
        <w:tc>
          <w:tcPr>
            <w:tcW w:w="236" w:type="dxa"/>
            <w:gridSpan w:val="2"/>
            <w:tcBorders>
              <w:top w:val="nil"/>
              <w:left w:val="nil"/>
              <w:bottom w:val="nil"/>
              <w:right w:val="nil"/>
            </w:tcBorders>
            <w:shd w:val="clear" w:color="auto" w:fill="auto"/>
            <w:noWrap/>
            <w:vAlign w:val="bottom"/>
            <w:hideMark/>
          </w:tcPr>
          <w:p w14:paraId="7F0AFC18" w14:textId="77777777" w:rsidR="00413EE5" w:rsidRPr="00F120D7" w:rsidRDefault="00413EE5" w:rsidP="00253F03">
            <w:pPr>
              <w:spacing w:after="0" w:line="240" w:lineRule="auto"/>
              <w:ind w:left="-12"/>
              <w:jc w:val="right"/>
              <w:rPr>
                <w:rFonts w:ascii="Times New Roman" w:eastAsia="Times New Roman" w:hAnsi="Times New Roman" w:cs="Times New Roman"/>
                <w:b/>
                <w:bCs/>
                <w:color w:val="000000"/>
                <w:lang w:eastAsia="hr-HR"/>
              </w:rPr>
            </w:pPr>
          </w:p>
        </w:tc>
      </w:tr>
      <w:tr w:rsidR="00C519D0" w:rsidRPr="00F120D7" w14:paraId="22265826" w14:textId="77777777" w:rsidTr="00F52211">
        <w:trPr>
          <w:gridAfter w:val="4"/>
          <w:wAfter w:w="667" w:type="dxa"/>
          <w:trHeight w:val="567"/>
        </w:trPr>
        <w:tc>
          <w:tcPr>
            <w:tcW w:w="2405" w:type="dxa"/>
            <w:tcBorders>
              <w:top w:val="nil"/>
              <w:left w:val="nil"/>
              <w:bottom w:val="nil"/>
              <w:right w:val="nil"/>
            </w:tcBorders>
            <w:shd w:val="clear" w:color="auto" w:fill="auto"/>
            <w:noWrap/>
            <w:vAlign w:val="bottom"/>
          </w:tcPr>
          <w:p w14:paraId="441A7E96" w14:textId="77777777" w:rsidR="00C519D0" w:rsidRPr="00F120D7" w:rsidRDefault="00C519D0"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tcPr>
          <w:p w14:paraId="477712C3" w14:textId="77777777" w:rsidR="00C519D0" w:rsidRPr="00F120D7" w:rsidRDefault="00C519D0" w:rsidP="00253F03">
            <w:pPr>
              <w:spacing w:after="0" w:line="240" w:lineRule="auto"/>
              <w:ind w:left="-12"/>
              <w:rPr>
                <w:rFonts w:ascii="Times New Roman" w:eastAsia="Times New Roman" w:hAnsi="Times New Roman" w:cs="Times New Roman"/>
                <w:lang w:eastAsia="hr-HR"/>
              </w:rPr>
            </w:pPr>
          </w:p>
        </w:tc>
        <w:tc>
          <w:tcPr>
            <w:tcW w:w="1560" w:type="dxa"/>
            <w:tcBorders>
              <w:top w:val="nil"/>
              <w:left w:val="nil"/>
              <w:bottom w:val="nil"/>
              <w:right w:val="nil"/>
            </w:tcBorders>
            <w:shd w:val="clear" w:color="auto" w:fill="auto"/>
            <w:noWrap/>
            <w:vAlign w:val="bottom"/>
          </w:tcPr>
          <w:p w14:paraId="3E17AD9D" w14:textId="77777777" w:rsidR="00C519D0" w:rsidRPr="00F120D7" w:rsidRDefault="00C519D0" w:rsidP="00253F03">
            <w:pPr>
              <w:spacing w:after="0" w:line="240" w:lineRule="auto"/>
              <w:ind w:left="-12"/>
              <w:rPr>
                <w:rFonts w:ascii="Times New Roman" w:eastAsia="Times New Roman" w:hAnsi="Times New Roman" w:cs="Times New Roman"/>
                <w:lang w:eastAsia="hr-HR"/>
              </w:rPr>
            </w:pPr>
          </w:p>
        </w:tc>
        <w:tc>
          <w:tcPr>
            <w:tcW w:w="1559" w:type="dxa"/>
            <w:tcBorders>
              <w:top w:val="nil"/>
              <w:left w:val="nil"/>
              <w:bottom w:val="nil"/>
              <w:right w:val="nil"/>
            </w:tcBorders>
            <w:shd w:val="clear" w:color="auto" w:fill="auto"/>
            <w:noWrap/>
            <w:vAlign w:val="bottom"/>
          </w:tcPr>
          <w:p w14:paraId="2D6C33A8" w14:textId="77777777" w:rsidR="00C519D0" w:rsidRPr="00F120D7" w:rsidRDefault="00C519D0" w:rsidP="00253F03">
            <w:pPr>
              <w:spacing w:after="0" w:line="240" w:lineRule="auto"/>
              <w:ind w:left="-12"/>
              <w:rPr>
                <w:rFonts w:ascii="Times New Roman" w:eastAsia="Times New Roman" w:hAnsi="Times New Roman" w:cs="Times New Roman"/>
                <w:lang w:eastAsia="hr-HR"/>
              </w:rPr>
            </w:pPr>
          </w:p>
        </w:tc>
        <w:tc>
          <w:tcPr>
            <w:tcW w:w="992" w:type="dxa"/>
            <w:tcBorders>
              <w:top w:val="nil"/>
              <w:left w:val="nil"/>
              <w:bottom w:val="nil"/>
              <w:right w:val="nil"/>
            </w:tcBorders>
            <w:shd w:val="clear" w:color="auto" w:fill="auto"/>
            <w:noWrap/>
            <w:vAlign w:val="bottom"/>
          </w:tcPr>
          <w:p w14:paraId="2B0682C8" w14:textId="77777777" w:rsidR="00C519D0" w:rsidRPr="00F120D7" w:rsidRDefault="00C519D0" w:rsidP="00253F03">
            <w:pPr>
              <w:spacing w:after="0" w:line="240" w:lineRule="auto"/>
              <w:ind w:left="-12"/>
              <w:rPr>
                <w:rFonts w:ascii="Times New Roman" w:eastAsia="Times New Roman" w:hAnsi="Times New Roman" w:cs="Times New Roman"/>
                <w:lang w:eastAsia="hr-HR"/>
              </w:rPr>
            </w:pPr>
          </w:p>
        </w:tc>
        <w:tc>
          <w:tcPr>
            <w:tcW w:w="561" w:type="dxa"/>
            <w:tcBorders>
              <w:top w:val="nil"/>
              <w:left w:val="nil"/>
              <w:bottom w:val="nil"/>
              <w:right w:val="nil"/>
            </w:tcBorders>
            <w:shd w:val="clear" w:color="auto" w:fill="auto"/>
            <w:noWrap/>
            <w:vAlign w:val="bottom"/>
          </w:tcPr>
          <w:p w14:paraId="33D408D3" w14:textId="77777777" w:rsidR="00C519D0" w:rsidRPr="00F120D7" w:rsidRDefault="00C519D0" w:rsidP="00253F03">
            <w:pPr>
              <w:spacing w:after="0" w:line="240" w:lineRule="auto"/>
              <w:ind w:left="-12"/>
              <w:rPr>
                <w:rFonts w:ascii="Times New Roman" w:eastAsia="Times New Roman" w:hAnsi="Times New Roman" w:cs="Times New Roman"/>
                <w:lang w:eastAsia="hr-HR"/>
              </w:rPr>
            </w:pPr>
          </w:p>
        </w:tc>
      </w:tr>
      <w:tr w:rsidR="00C519D0" w:rsidRPr="00F120D7" w14:paraId="7D2B5C8B" w14:textId="77777777" w:rsidTr="003F5D2E">
        <w:trPr>
          <w:gridAfter w:val="2"/>
          <w:wAfter w:w="236" w:type="dxa"/>
          <w:trHeight w:val="677"/>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0624D" w14:textId="77777777" w:rsidR="00C519D0" w:rsidRPr="00F120D7" w:rsidRDefault="00C519D0" w:rsidP="00253F03">
            <w:pPr>
              <w:spacing w:after="0" w:line="240" w:lineRule="auto"/>
              <w:ind w:left="-12"/>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VIŠAK / MANJAK + NETO FINANCIRANJE + PRENESENI REZULTAT</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397FC29"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8B1A915"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2B04B98"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050CC35"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992" w:type="dxa"/>
            <w:gridSpan w:val="3"/>
            <w:tcBorders>
              <w:top w:val="single" w:sz="4" w:space="0" w:color="000000"/>
              <w:left w:val="nil"/>
              <w:bottom w:val="single" w:sz="4" w:space="0" w:color="000000"/>
              <w:right w:val="single" w:sz="4" w:space="0" w:color="000000"/>
            </w:tcBorders>
            <w:shd w:val="clear" w:color="auto" w:fill="auto"/>
            <w:vAlign w:val="center"/>
            <w:hideMark/>
          </w:tcPr>
          <w:p w14:paraId="36B6B365" w14:textId="77777777" w:rsidR="00C519D0" w:rsidRPr="00F120D7" w:rsidRDefault="00C519D0" w:rsidP="00253F03">
            <w:pPr>
              <w:spacing w:after="0" w:line="240" w:lineRule="auto"/>
              <w:ind w:left="-12"/>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r>
    </w:tbl>
    <w:p w14:paraId="4EC02EF5" w14:textId="77777777" w:rsidR="00F52211" w:rsidRDefault="00F52211" w:rsidP="00803102">
      <w:pPr>
        <w:spacing w:line="240" w:lineRule="auto"/>
        <w:jc w:val="center"/>
        <w:rPr>
          <w:rFonts w:ascii="Times New Roman" w:hAnsi="Times New Roman" w:cs="Times New Roman"/>
          <w:sz w:val="24"/>
          <w:szCs w:val="24"/>
        </w:rPr>
      </w:pPr>
    </w:p>
    <w:p w14:paraId="3F61A2BF" w14:textId="56E949C7" w:rsidR="00803102" w:rsidRPr="00E721E2" w:rsidRDefault="00180063" w:rsidP="00803102">
      <w:pPr>
        <w:spacing w:line="240" w:lineRule="auto"/>
        <w:jc w:val="center"/>
        <w:rPr>
          <w:rFonts w:ascii="Times New Roman" w:hAnsi="Times New Roman" w:cs="Times New Roman"/>
          <w:sz w:val="24"/>
          <w:szCs w:val="24"/>
        </w:rPr>
      </w:pPr>
      <w:r>
        <w:rPr>
          <w:rFonts w:ascii="Times New Roman" w:hAnsi="Times New Roman" w:cs="Times New Roman"/>
          <w:sz w:val="24"/>
          <w:szCs w:val="24"/>
        </w:rPr>
        <w:t>Č</w:t>
      </w:r>
      <w:r w:rsidR="00803102" w:rsidRPr="00E721E2">
        <w:rPr>
          <w:rFonts w:ascii="Times New Roman" w:hAnsi="Times New Roman" w:cs="Times New Roman"/>
          <w:sz w:val="24"/>
          <w:szCs w:val="24"/>
        </w:rPr>
        <w:t>lanak 2.</w:t>
      </w:r>
    </w:p>
    <w:p w14:paraId="1FAD5AF2" w14:textId="77777777" w:rsidR="00803102" w:rsidRDefault="00803102" w:rsidP="005C0B7C">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Prihodi i rashodi te primici i izdaci u Računu prihoda i rashoda iskazani su prema ekonomskoj klasifikaciji, prema izvorima financiranja i prema funkcijskoj klasifikaciji kako slijedi:</w:t>
      </w:r>
    </w:p>
    <w:p w14:paraId="4114C148" w14:textId="77777777" w:rsidR="005C0B7C" w:rsidRDefault="005C0B7C" w:rsidP="005C0B7C">
      <w:pPr>
        <w:spacing w:after="0" w:line="240" w:lineRule="auto"/>
        <w:jc w:val="both"/>
        <w:rPr>
          <w:rFonts w:ascii="Times New Roman" w:hAnsi="Times New Roman" w:cs="Times New Roman"/>
          <w:sz w:val="24"/>
          <w:szCs w:val="24"/>
        </w:rPr>
      </w:pPr>
    </w:p>
    <w:p w14:paraId="2851CB6B" w14:textId="77777777" w:rsidR="00C25598" w:rsidRDefault="00C25598" w:rsidP="005C0B7C">
      <w:pPr>
        <w:spacing w:after="0" w:line="240" w:lineRule="auto"/>
        <w:jc w:val="both"/>
        <w:rPr>
          <w:rFonts w:ascii="Times New Roman" w:hAnsi="Times New Roman" w:cs="Times New Roman"/>
          <w:sz w:val="24"/>
          <w:szCs w:val="24"/>
        </w:rPr>
      </w:pPr>
    </w:p>
    <w:p w14:paraId="3DB41B84" w14:textId="77777777" w:rsidR="00C25598" w:rsidRDefault="00C25598" w:rsidP="005C0B7C">
      <w:pPr>
        <w:spacing w:after="0" w:line="240" w:lineRule="auto"/>
        <w:jc w:val="both"/>
        <w:rPr>
          <w:rFonts w:ascii="Times New Roman" w:hAnsi="Times New Roman" w:cs="Times New Roman"/>
          <w:sz w:val="24"/>
          <w:szCs w:val="24"/>
        </w:rPr>
      </w:pPr>
    </w:p>
    <w:p w14:paraId="247972FC" w14:textId="77777777" w:rsidR="00712C40" w:rsidRDefault="00712C40" w:rsidP="005C0B7C">
      <w:pPr>
        <w:spacing w:after="0" w:line="240" w:lineRule="auto"/>
        <w:jc w:val="both"/>
        <w:rPr>
          <w:rFonts w:ascii="Times New Roman" w:hAnsi="Times New Roman" w:cs="Times New Roman"/>
          <w:sz w:val="24"/>
          <w:szCs w:val="24"/>
        </w:rPr>
      </w:pPr>
    </w:p>
    <w:p w14:paraId="559CC8D3" w14:textId="77777777" w:rsidR="00712C40" w:rsidRDefault="00712C40" w:rsidP="005C0B7C">
      <w:pPr>
        <w:spacing w:after="0" w:line="240" w:lineRule="auto"/>
        <w:jc w:val="both"/>
        <w:rPr>
          <w:rFonts w:ascii="Times New Roman" w:hAnsi="Times New Roman" w:cs="Times New Roman"/>
          <w:sz w:val="24"/>
          <w:szCs w:val="24"/>
        </w:rPr>
      </w:pPr>
    </w:p>
    <w:p w14:paraId="0E99FBCF" w14:textId="77777777" w:rsidR="007A0463" w:rsidRDefault="007A0463" w:rsidP="005C0B7C">
      <w:pPr>
        <w:spacing w:after="0" w:line="240" w:lineRule="auto"/>
        <w:jc w:val="both"/>
        <w:rPr>
          <w:rFonts w:ascii="Times New Roman" w:hAnsi="Times New Roman" w:cs="Times New Roman"/>
          <w:sz w:val="24"/>
          <w:szCs w:val="24"/>
        </w:rPr>
      </w:pPr>
    </w:p>
    <w:p w14:paraId="5AD1499C" w14:textId="77777777" w:rsidR="00C25598" w:rsidRPr="00E721E2" w:rsidRDefault="00C25598" w:rsidP="005C0B7C">
      <w:pPr>
        <w:spacing w:after="0" w:line="240" w:lineRule="auto"/>
        <w:jc w:val="both"/>
        <w:rPr>
          <w:rFonts w:ascii="Times New Roman" w:hAnsi="Times New Roman" w:cs="Times New Roman"/>
          <w:sz w:val="24"/>
          <w:szCs w:val="24"/>
        </w:rPr>
      </w:pPr>
    </w:p>
    <w:p w14:paraId="5886BC6C" w14:textId="4BADD1EE" w:rsidR="00803102" w:rsidRDefault="005C0B7C" w:rsidP="005C0B7C">
      <w:pPr>
        <w:spacing w:after="0" w:line="240" w:lineRule="auto"/>
        <w:jc w:val="center"/>
        <w:rPr>
          <w:rFonts w:ascii="Times New Roman" w:hAnsi="Times New Roman" w:cs="Times New Roman"/>
          <w:b/>
          <w:bCs/>
          <w:sz w:val="24"/>
          <w:szCs w:val="24"/>
        </w:rPr>
      </w:pPr>
      <w:r w:rsidRPr="005C0B7C">
        <w:rPr>
          <w:rFonts w:ascii="Times New Roman" w:hAnsi="Times New Roman" w:cs="Times New Roman"/>
          <w:b/>
          <w:bCs/>
          <w:sz w:val="24"/>
          <w:szCs w:val="24"/>
        </w:rPr>
        <w:lastRenderedPageBreak/>
        <w:t>1.2. RAČUN PRIHODA I RASHODA</w:t>
      </w:r>
    </w:p>
    <w:p w14:paraId="601FC42B" w14:textId="77777777" w:rsidR="005C0B7C" w:rsidRPr="005C0B7C" w:rsidRDefault="005C0B7C" w:rsidP="005C0B7C">
      <w:pPr>
        <w:spacing w:after="0" w:line="240" w:lineRule="auto"/>
        <w:jc w:val="center"/>
        <w:rPr>
          <w:rFonts w:ascii="Times New Roman" w:hAnsi="Times New Roman" w:cs="Times New Roman"/>
          <w:b/>
          <w:bCs/>
          <w:sz w:val="24"/>
          <w:szCs w:val="24"/>
        </w:rPr>
      </w:pPr>
    </w:p>
    <w:p w14:paraId="5E91D792" w14:textId="62495C54" w:rsidR="005C0B7C" w:rsidRPr="005C0B7C" w:rsidRDefault="005C0B7C" w:rsidP="005C0B7C">
      <w:pPr>
        <w:spacing w:after="0" w:line="240" w:lineRule="auto"/>
        <w:jc w:val="center"/>
        <w:rPr>
          <w:rFonts w:ascii="Times New Roman" w:hAnsi="Times New Roman" w:cs="Times New Roman"/>
          <w:b/>
          <w:bCs/>
          <w:sz w:val="24"/>
          <w:szCs w:val="24"/>
        </w:rPr>
      </w:pPr>
      <w:r w:rsidRPr="005C0B7C">
        <w:rPr>
          <w:rFonts w:ascii="Times New Roman" w:hAnsi="Times New Roman" w:cs="Times New Roman"/>
          <w:b/>
          <w:bCs/>
          <w:sz w:val="24"/>
          <w:szCs w:val="24"/>
        </w:rPr>
        <w:t>1.2.1. IZVJEŠTAJ O PRIHODIMA I RASHODIMA PREMA EKONOMSKOJ KLASIFIKACIJI</w:t>
      </w:r>
    </w:p>
    <w:p w14:paraId="43F75227" w14:textId="77777777" w:rsidR="00803102" w:rsidRPr="005C0B7C" w:rsidRDefault="00803102" w:rsidP="005C0B7C">
      <w:pPr>
        <w:spacing w:after="0" w:line="240" w:lineRule="auto"/>
        <w:rPr>
          <w:rFonts w:ascii="Times New Roman" w:hAnsi="Times New Roman" w:cs="Times New Roman"/>
          <w:sz w:val="24"/>
          <w:szCs w:val="24"/>
        </w:rPr>
      </w:pPr>
    </w:p>
    <w:tbl>
      <w:tblPr>
        <w:tblW w:w="9493" w:type="dxa"/>
        <w:jc w:val="center"/>
        <w:tblLayout w:type="fixed"/>
        <w:tblLook w:val="04A0" w:firstRow="1" w:lastRow="0" w:firstColumn="1" w:lastColumn="0" w:noHBand="0" w:noVBand="1"/>
      </w:tblPr>
      <w:tblGrid>
        <w:gridCol w:w="478"/>
        <w:gridCol w:w="229"/>
        <w:gridCol w:w="2265"/>
        <w:gridCol w:w="1418"/>
        <w:gridCol w:w="1413"/>
        <w:gridCol w:w="146"/>
        <w:gridCol w:w="1551"/>
        <w:gridCol w:w="7"/>
        <w:gridCol w:w="993"/>
        <w:gridCol w:w="993"/>
      </w:tblGrid>
      <w:tr w:rsidR="00E552B3" w:rsidRPr="00F120D7" w14:paraId="4415189C" w14:textId="77777777" w:rsidTr="00F52211">
        <w:trPr>
          <w:trHeight w:val="64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16239D07"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418" w:type="dxa"/>
            <w:tcBorders>
              <w:top w:val="single" w:sz="4" w:space="0" w:color="000000"/>
              <w:left w:val="nil"/>
              <w:bottom w:val="single" w:sz="4" w:space="0" w:color="000000"/>
              <w:right w:val="single" w:sz="4" w:space="0" w:color="000000"/>
            </w:tcBorders>
            <w:shd w:val="clear" w:color="000000" w:fill="DCDCDC"/>
            <w:vAlign w:val="center"/>
            <w:hideMark/>
          </w:tcPr>
          <w:p w14:paraId="6F4BDED2"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Ostvarenje / izvršenje </w:t>
            </w:r>
            <w:r w:rsidRPr="00F120D7">
              <w:rPr>
                <w:rFonts w:ascii="Times New Roman" w:eastAsia="Times New Roman" w:hAnsi="Times New Roman" w:cs="Times New Roman"/>
                <w:b/>
                <w:bCs/>
                <w:color w:val="000000"/>
                <w:lang w:eastAsia="hr-HR"/>
              </w:rPr>
              <w:br/>
              <w:t>31.12.2023.</w:t>
            </w:r>
          </w:p>
        </w:tc>
        <w:tc>
          <w:tcPr>
            <w:tcW w:w="1559"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4CB010DB"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8"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1983710F"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Ostvarenje / izvršenje </w:t>
            </w:r>
            <w:r w:rsidRPr="00F120D7">
              <w:rPr>
                <w:rFonts w:ascii="Times New Roman" w:eastAsia="Times New Roman" w:hAnsi="Times New Roman" w:cs="Times New Roman"/>
                <w:b/>
                <w:bCs/>
                <w:color w:val="000000"/>
                <w:lang w:eastAsia="hr-HR"/>
              </w:rPr>
              <w:br/>
              <w:t>31.12.2024.</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62951B92"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2</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0D4FA90D" w14:textId="77777777" w:rsidR="00367EB7" w:rsidRPr="00F120D7" w:rsidRDefault="00367EB7" w:rsidP="005C0B7C">
            <w:pPr>
              <w:spacing w:after="0" w:line="240" w:lineRule="auto"/>
              <w:ind w:left="-29"/>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r>
      <w:tr w:rsidR="00E552B3" w:rsidRPr="00F120D7" w14:paraId="2E94BED4" w14:textId="77777777" w:rsidTr="00F52211">
        <w:trPr>
          <w:trHeight w:val="195"/>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785DFE0C"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418" w:type="dxa"/>
            <w:tcBorders>
              <w:top w:val="nil"/>
              <w:left w:val="nil"/>
              <w:bottom w:val="single" w:sz="4" w:space="0" w:color="000000"/>
              <w:right w:val="single" w:sz="4" w:space="0" w:color="000000"/>
            </w:tcBorders>
            <w:shd w:val="clear" w:color="auto" w:fill="auto"/>
            <w:vAlign w:val="center"/>
            <w:hideMark/>
          </w:tcPr>
          <w:p w14:paraId="48E80958"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8BB5FE5"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75A8F63"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083B8F7A"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3" w:type="dxa"/>
            <w:tcBorders>
              <w:top w:val="nil"/>
              <w:left w:val="nil"/>
              <w:bottom w:val="single" w:sz="4" w:space="0" w:color="000000"/>
              <w:right w:val="single" w:sz="4" w:space="0" w:color="000000"/>
            </w:tcBorders>
            <w:shd w:val="clear" w:color="auto" w:fill="auto"/>
            <w:vAlign w:val="center"/>
            <w:hideMark/>
          </w:tcPr>
          <w:p w14:paraId="6FFBEBDF"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E552B3" w:rsidRPr="00F120D7" w14:paraId="0E4294AC"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1B698563"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2265" w:type="dxa"/>
            <w:tcBorders>
              <w:top w:val="nil"/>
              <w:left w:val="nil"/>
              <w:bottom w:val="single" w:sz="4" w:space="0" w:color="000000"/>
              <w:right w:val="single" w:sz="4" w:space="0" w:color="000000"/>
            </w:tcBorders>
            <w:shd w:val="clear" w:color="auto" w:fill="auto"/>
            <w:vAlign w:val="center"/>
            <w:hideMark/>
          </w:tcPr>
          <w:p w14:paraId="3A2EED8C"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UKUPNO PRIHODI</w:t>
            </w:r>
          </w:p>
        </w:tc>
        <w:tc>
          <w:tcPr>
            <w:tcW w:w="1418" w:type="dxa"/>
            <w:tcBorders>
              <w:top w:val="nil"/>
              <w:left w:val="nil"/>
              <w:bottom w:val="single" w:sz="4" w:space="0" w:color="000000"/>
              <w:right w:val="single" w:sz="4" w:space="0" w:color="000000"/>
            </w:tcBorders>
            <w:shd w:val="clear" w:color="auto" w:fill="auto"/>
            <w:vAlign w:val="center"/>
            <w:hideMark/>
          </w:tcPr>
          <w:p w14:paraId="355BF1BF"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719.312,84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355F6B8"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891.227,00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3E6AB83"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825.485,50</w:t>
            </w:r>
          </w:p>
        </w:tc>
        <w:tc>
          <w:tcPr>
            <w:tcW w:w="993" w:type="dxa"/>
            <w:tcBorders>
              <w:top w:val="nil"/>
              <w:left w:val="nil"/>
              <w:bottom w:val="single" w:sz="4" w:space="0" w:color="000000"/>
              <w:right w:val="single" w:sz="4" w:space="0" w:color="000000"/>
            </w:tcBorders>
            <w:shd w:val="clear" w:color="auto" w:fill="auto"/>
            <w:vAlign w:val="center"/>
            <w:hideMark/>
          </w:tcPr>
          <w:p w14:paraId="334EA30C"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114,76</w:t>
            </w:r>
          </w:p>
        </w:tc>
        <w:tc>
          <w:tcPr>
            <w:tcW w:w="993" w:type="dxa"/>
            <w:tcBorders>
              <w:top w:val="nil"/>
              <w:left w:val="nil"/>
              <w:bottom w:val="single" w:sz="4" w:space="0" w:color="000000"/>
              <w:right w:val="single" w:sz="4" w:space="0" w:color="000000"/>
            </w:tcBorders>
            <w:shd w:val="clear" w:color="auto" w:fill="auto"/>
            <w:vAlign w:val="center"/>
            <w:hideMark/>
          </w:tcPr>
          <w:p w14:paraId="6AD1D0C2"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92,62</w:t>
            </w:r>
          </w:p>
        </w:tc>
      </w:tr>
      <w:tr w:rsidR="00E552B3" w:rsidRPr="00F120D7" w14:paraId="628E284C"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B4E3711"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c>
          <w:tcPr>
            <w:tcW w:w="2265" w:type="dxa"/>
            <w:tcBorders>
              <w:top w:val="nil"/>
              <w:left w:val="nil"/>
              <w:bottom w:val="single" w:sz="4" w:space="0" w:color="000000"/>
              <w:right w:val="single" w:sz="4" w:space="0" w:color="000000"/>
            </w:tcBorders>
            <w:shd w:val="clear" w:color="auto" w:fill="auto"/>
            <w:vAlign w:val="center"/>
            <w:hideMark/>
          </w:tcPr>
          <w:p w14:paraId="72A363EF"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Prihodi poslovanja</w:t>
            </w:r>
          </w:p>
        </w:tc>
        <w:tc>
          <w:tcPr>
            <w:tcW w:w="1418" w:type="dxa"/>
            <w:tcBorders>
              <w:top w:val="nil"/>
              <w:left w:val="nil"/>
              <w:bottom w:val="single" w:sz="4" w:space="0" w:color="000000"/>
              <w:right w:val="single" w:sz="4" w:space="0" w:color="000000"/>
            </w:tcBorders>
            <w:shd w:val="clear" w:color="auto" w:fill="auto"/>
            <w:vAlign w:val="center"/>
            <w:hideMark/>
          </w:tcPr>
          <w:p w14:paraId="013DC316"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719.312,84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971CED3"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891.227,00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E185875"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825.485,50</w:t>
            </w:r>
          </w:p>
        </w:tc>
        <w:tc>
          <w:tcPr>
            <w:tcW w:w="993" w:type="dxa"/>
            <w:tcBorders>
              <w:top w:val="nil"/>
              <w:left w:val="nil"/>
              <w:bottom w:val="single" w:sz="4" w:space="0" w:color="000000"/>
              <w:right w:val="single" w:sz="4" w:space="0" w:color="000000"/>
            </w:tcBorders>
            <w:shd w:val="clear" w:color="auto" w:fill="auto"/>
            <w:vAlign w:val="center"/>
            <w:hideMark/>
          </w:tcPr>
          <w:p w14:paraId="670663B5"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114,76</w:t>
            </w:r>
          </w:p>
        </w:tc>
        <w:tc>
          <w:tcPr>
            <w:tcW w:w="993" w:type="dxa"/>
            <w:tcBorders>
              <w:top w:val="nil"/>
              <w:left w:val="nil"/>
              <w:bottom w:val="single" w:sz="4" w:space="0" w:color="000000"/>
              <w:right w:val="single" w:sz="4" w:space="0" w:color="000000"/>
            </w:tcBorders>
            <w:shd w:val="clear" w:color="auto" w:fill="auto"/>
            <w:vAlign w:val="center"/>
            <w:hideMark/>
          </w:tcPr>
          <w:p w14:paraId="7B2C0379"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92,62</w:t>
            </w:r>
          </w:p>
        </w:tc>
      </w:tr>
      <w:tr w:rsidR="00E552B3" w:rsidRPr="00F120D7" w14:paraId="5F53F6D3"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2ACE8D2"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63</w:t>
            </w:r>
          </w:p>
        </w:tc>
        <w:tc>
          <w:tcPr>
            <w:tcW w:w="2265" w:type="dxa"/>
            <w:tcBorders>
              <w:top w:val="nil"/>
              <w:left w:val="nil"/>
              <w:bottom w:val="single" w:sz="4" w:space="0" w:color="000000"/>
              <w:right w:val="single" w:sz="4" w:space="0" w:color="000000"/>
            </w:tcBorders>
            <w:shd w:val="clear" w:color="auto" w:fill="auto"/>
            <w:vAlign w:val="center"/>
            <w:hideMark/>
          </w:tcPr>
          <w:p w14:paraId="3E6C6168"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Pomoći iz inozemstva i od subjekata unutar općeg proračuna</w:t>
            </w:r>
          </w:p>
        </w:tc>
        <w:tc>
          <w:tcPr>
            <w:tcW w:w="1418" w:type="dxa"/>
            <w:tcBorders>
              <w:top w:val="nil"/>
              <w:left w:val="nil"/>
              <w:bottom w:val="single" w:sz="4" w:space="0" w:color="000000"/>
              <w:right w:val="single" w:sz="4" w:space="0" w:color="000000"/>
            </w:tcBorders>
            <w:shd w:val="clear" w:color="auto" w:fill="auto"/>
            <w:vAlign w:val="center"/>
            <w:hideMark/>
          </w:tcPr>
          <w:p w14:paraId="5EE1B79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423.352,82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44BE58F"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487.845,00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EB2550C"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492.362,76</w:t>
            </w:r>
          </w:p>
        </w:tc>
        <w:tc>
          <w:tcPr>
            <w:tcW w:w="993" w:type="dxa"/>
            <w:tcBorders>
              <w:top w:val="nil"/>
              <w:left w:val="nil"/>
              <w:bottom w:val="single" w:sz="4" w:space="0" w:color="000000"/>
              <w:right w:val="single" w:sz="4" w:space="0" w:color="000000"/>
            </w:tcBorders>
            <w:shd w:val="clear" w:color="auto" w:fill="auto"/>
            <w:vAlign w:val="center"/>
            <w:hideMark/>
          </w:tcPr>
          <w:p w14:paraId="5A758CBE"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116,3</w:t>
            </w:r>
          </w:p>
        </w:tc>
        <w:tc>
          <w:tcPr>
            <w:tcW w:w="993" w:type="dxa"/>
            <w:tcBorders>
              <w:top w:val="nil"/>
              <w:left w:val="nil"/>
              <w:bottom w:val="single" w:sz="4" w:space="0" w:color="000000"/>
              <w:right w:val="single" w:sz="4" w:space="0" w:color="000000"/>
            </w:tcBorders>
            <w:shd w:val="clear" w:color="auto" w:fill="auto"/>
            <w:vAlign w:val="center"/>
            <w:hideMark/>
          </w:tcPr>
          <w:p w14:paraId="6AA537A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100,93</w:t>
            </w:r>
          </w:p>
        </w:tc>
      </w:tr>
      <w:tr w:rsidR="00E552B3" w:rsidRPr="00F120D7" w14:paraId="72D9C17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330E69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632</w:t>
            </w:r>
          </w:p>
        </w:tc>
        <w:tc>
          <w:tcPr>
            <w:tcW w:w="2265" w:type="dxa"/>
            <w:tcBorders>
              <w:top w:val="nil"/>
              <w:left w:val="nil"/>
              <w:bottom w:val="single" w:sz="4" w:space="0" w:color="000000"/>
              <w:right w:val="single" w:sz="4" w:space="0" w:color="000000"/>
            </w:tcBorders>
            <w:shd w:val="clear" w:color="auto" w:fill="auto"/>
            <w:vAlign w:val="center"/>
            <w:hideMark/>
          </w:tcPr>
          <w:p w14:paraId="760B75A3"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Pomoći od međunarodnih organizacija te institucija i tijela EU</w:t>
            </w:r>
          </w:p>
        </w:tc>
        <w:tc>
          <w:tcPr>
            <w:tcW w:w="1418" w:type="dxa"/>
            <w:tcBorders>
              <w:top w:val="nil"/>
              <w:left w:val="nil"/>
              <w:bottom w:val="single" w:sz="4" w:space="0" w:color="000000"/>
              <w:right w:val="single" w:sz="4" w:space="0" w:color="000000"/>
            </w:tcBorders>
            <w:shd w:val="clear" w:color="auto" w:fill="auto"/>
            <w:vAlign w:val="center"/>
            <w:hideMark/>
          </w:tcPr>
          <w:p w14:paraId="30ACEA4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64.133,42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4A537A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154FDE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63.173,54</w:t>
            </w:r>
          </w:p>
        </w:tc>
        <w:tc>
          <w:tcPr>
            <w:tcW w:w="993" w:type="dxa"/>
            <w:tcBorders>
              <w:top w:val="nil"/>
              <w:left w:val="nil"/>
              <w:bottom w:val="single" w:sz="4" w:space="0" w:color="000000"/>
              <w:right w:val="single" w:sz="4" w:space="0" w:color="000000"/>
            </w:tcBorders>
            <w:shd w:val="clear" w:color="auto" w:fill="auto"/>
            <w:vAlign w:val="center"/>
            <w:hideMark/>
          </w:tcPr>
          <w:p w14:paraId="349D40B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98,5</w:t>
            </w:r>
          </w:p>
        </w:tc>
        <w:tc>
          <w:tcPr>
            <w:tcW w:w="993" w:type="dxa"/>
            <w:tcBorders>
              <w:top w:val="nil"/>
              <w:left w:val="nil"/>
              <w:bottom w:val="single" w:sz="4" w:space="0" w:color="000000"/>
              <w:right w:val="single" w:sz="4" w:space="0" w:color="000000"/>
            </w:tcBorders>
            <w:shd w:val="clear" w:color="auto" w:fill="auto"/>
            <w:vAlign w:val="center"/>
            <w:hideMark/>
          </w:tcPr>
          <w:p w14:paraId="0FC77B8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12A4F9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6E0D4C1"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6323</w:t>
            </w:r>
          </w:p>
        </w:tc>
        <w:tc>
          <w:tcPr>
            <w:tcW w:w="2265" w:type="dxa"/>
            <w:tcBorders>
              <w:top w:val="nil"/>
              <w:left w:val="nil"/>
              <w:bottom w:val="single" w:sz="4" w:space="0" w:color="000000"/>
              <w:right w:val="single" w:sz="4" w:space="0" w:color="000000"/>
            </w:tcBorders>
            <w:shd w:val="clear" w:color="auto" w:fill="auto"/>
            <w:vAlign w:val="center"/>
            <w:hideMark/>
          </w:tcPr>
          <w:p w14:paraId="1A4EC768"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Tekuće pomoći od institucija i tijela EU</w:t>
            </w:r>
          </w:p>
        </w:tc>
        <w:tc>
          <w:tcPr>
            <w:tcW w:w="1418" w:type="dxa"/>
            <w:tcBorders>
              <w:top w:val="nil"/>
              <w:left w:val="nil"/>
              <w:bottom w:val="single" w:sz="4" w:space="0" w:color="000000"/>
              <w:right w:val="single" w:sz="4" w:space="0" w:color="000000"/>
            </w:tcBorders>
            <w:shd w:val="clear" w:color="auto" w:fill="auto"/>
            <w:vAlign w:val="center"/>
            <w:hideMark/>
          </w:tcPr>
          <w:p w14:paraId="5B44ABB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64.133,42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47C312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B77267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63.173,54</w:t>
            </w:r>
          </w:p>
        </w:tc>
        <w:tc>
          <w:tcPr>
            <w:tcW w:w="993" w:type="dxa"/>
            <w:tcBorders>
              <w:top w:val="nil"/>
              <w:left w:val="nil"/>
              <w:bottom w:val="single" w:sz="4" w:space="0" w:color="000000"/>
              <w:right w:val="single" w:sz="4" w:space="0" w:color="000000"/>
            </w:tcBorders>
            <w:shd w:val="clear" w:color="auto" w:fill="auto"/>
            <w:vAlign w:val="center"/>
            <w:hideMark/>
          </w:tcPr>
          <w:p w14:paraId="050BC08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98,5</w:t>
            </w:r>
          </w:p>
        </w:tc>
        <w:tc>
          <w:tcPr>
            <w:tcW w:w="993" w:type="dxa"/>
            <w:tcBorders>
              <w:top w:val="nil"/>
              <w:left w:val="nil"/>
              <w:bottom w:val="single" w:sz="4" w:space="0" w:color="000000"/>
              <w:right w:val="single" w:sz="4" w:space="0" w:color="000000"/>
            </w:tcBorders>
            <w:shd w:val="clear" w:color="auto" w:fill="auto"/>
            <w:vAlign w:val="center"/>
            <w:hideMark/>
          </w:tcPr>
          <w:p w14:paraId="2EE4F8D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0FACD9A8"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F3CB37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638</w:t>
            </w:r>
          </w:p>
        </w:tc>
        <w:tc>
          <w:tcPr>
            <w:tcW w:w="2265" w:type="dxa"/>
            <w:tcBorders>
              <w:top w:val="nil"/>
              <w:left w:val="nil"/>
              <w:bottom w:val="single" w:sz="4" w:space="0" w:color="000000"/>
              <w:right w:val="single" w:sz="4" w:space="0" w:color="000000"/>
            </w:tcBorders>
            <w:shd w:val="clear" w:color="auto" w:fill="auto"/>
            <w:vAlign w:val="center"/>
            <w:hideMark/>
          </w:tcPr>
          <w:p w14:paraId="06BCD07E"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Pomoći temeljem prijenosa EU sredstava</w:t>
            </w:r>
          </w:p>
        </w:tc>
        <w:tc>
          <w:tcPr>
            <w:tcW w:w="1418" w:type="dxa"/>
            <w:tcBorders>
              <w:top w:val="nil"/>
              <w:left w:val="nil"/>
              <w:bottom w:val="single" w:sz="4" w:space="0" w:color="000000"/>
              <w:right w:val="single" w:sz="4" w:space="0" w:color="000000"/>
            </w:tcBorders>
            <w:shd w:val="clear" w:color="auto" w:fill="auto"/>
            <w:vAlign w:val="center"/>
            <w:hideMark/>
          </w:tcPr>
          <w:p w14:paraId="14972E8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359.219,40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6E149E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BDC569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429.189,22</w:t>
            </w:r>
          </w:p>
        </w:tc>
        <w:tc>
          <w:tcPr>
            <w:tcW w:w="993" w:type="dxa"/>
            <w:tcBorders>
              <w:top w:val="nil"/>
              <w:left w:val="nil"/>
              <w:bottom w:val="single" w:sz="4" w:space="0" w:color="000000"/>
              <w:right w:val="single" w:sz="4" w:space="0" w:color="000000"/>
            </w:tcBorders>
            <w:shd w:val="clear" w:color="auto" w:fill="auto"/>
            <w:vAlign w:val="center"/>
            <w:hideMark/>
          </w:tcPr>
          <w:p w14:paraId="1EF1CEF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119,48</w:t>
            </w:r>
          </w:p>
        </w:tc>
        <w:tc>
          <w:tcPr>
            <w:tcW w:w="993" w:type="dxa"/>
            <w:tcBorders>
              <w:top w:val="nil"/>
              <w:left w:val="nil"/>
              <w:bottom w:val="single" w:sz="4" w:space="0" w:color="000000"/>
              <w:right w:val="single" w:sz="4" w:space="0" w:color="000000"/>
            </w:tcBorders>
            <w:shd w:val="clear" w:color="auto" w:fill="auto"/>
            <w:vAlign w:val="center"/>
            <w:hideMark/>
          </w:tcPr>
          <w:p w14:paraId="3D9EC9B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09897B0"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526BEA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6381</w:t>
            </w:r>
          </w:p>
        </w:tc>
        <w:tc>
          <w:tcPr>
            <w:tcW w:w="2265" w:type="dxa"/>
            <w:tcBorders>
              <w:top w:val="nil"/>
              <w:left w:val="nil"/>
              <w:bottom w:val="single" w:sz="4" w:space="0" w:color="000000"/>
              <w:right w:val="single" w:sz="4" w:space="0" w:color="000000"/>
            </w:tcBorders>
            <w:shd w:val="clear" w:color="auto" w:fill="auto"/>
            <w:vAlign w:val="center"/>
            <w:hideMark/>
          </w:tcPr>
          <w:p w14:paraId="6A6CBE1E"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Tekuće pomoći temeljem prijenosa EU sredstava</w:t>
            </w:r>
          </w:p>
        </w:tc>
        <w:tc>
          <w:tcPr>
            <w:tcW w:w="1418" w:type="dxa"/>
            <w:tcBorders>
              <w:top w:val="nil"/>
              <w:left w:val="nil"/>
              <w:bottom w:val="single" w:sz="4" w:space="0" w:color="000000"/>
              <w:right w:val="single" w:sz="4" w:space="0" w:color="000000"/>
            </w:tcBorders>
            <w:shd w:val="clear" w:color="auto" w:fill="auto"/>
            <w:vAlign w:val="center"/>
            <w:hideMark/>
          </w:tcPr>
          <w:p w14:paraId="68C6809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347.759,10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2408FE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1DC6ED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429.189,22</w:t>
            </w:r>
          </w:p>
        </w:tc>
        <w:tc>
          <w:tcPr>
            <w:tcW w:w="993" w:type="dxa"/>
            <w:tcBorders>
              <w:top w:val="nil"/>
              <w:left w:val="nil"/>
              <w:bottom w:val="single" w:sz="4" w:space="0" w:color="000000"/>
              <w:right w:val="single" w:sz="4" w:space="0" w:color="000000"/>
            </w:tcBorders>
            <w:shd w:val="clear" w:color="auto" w:fill="auto"/>
            <w:vAlign w:val="center"/>
            <w:hideMark/>
          </w:tcPr>
          <w:p w14:paraId="209558F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123,42</w:t>
            </w:r>
          </w:p>
        </w:tc>
        <w:tc>
          <w:tcPr>
            <w:tcW w:w="993" w:type="dxa"/>
            <w:tcBorders>
              <w:top w:val="nil"/>
              <w:left w:val="nil"/>
              <w:bottom w:val="single" w:sz="4" w:space="0" w:color="000000"/>
              <w:right w:val="single" w:sz="4" w:space="0" w:color="000000"/>
            </w:tcBorders>
            <w:shd w:val="clear" w:color="auto" w:fill="auto"/>
            <w:vAlign w:val="center"/>
            <w:hideMark/>
          </w:tcPr>
          <w:p w14:paraId="1C81F4C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6DD11AB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9001E8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6382</w:t>
            </w:r>
          </w:p>
        </w:tc>
        <w:tc>
          <w:tcPr>
            <w:tcW w:w="2265" w:type="dxa"/>
            <w:tcBorders>
              <w:top w:val="nil"/>
              <w:left w:val="nil"/>
              <w:bottom w:val="single" w:sz="4" w:space="0" w:color="000000"/>
              <w:right w:val="single" w:sz="4" w:space="0" w:color="000000"/>
            </w:tcBorders>
            <w:shd w:val="clear" w:color="auto" w:fill="auto"/>
            <w:vAlign w:val="center"/>
            <w:hideMark/>
          </w:tcPr>
          <w:p w14:paraId="549F9727"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Kapitalne pomoći temeljem prijenosa EU sredstava</w:t>
            </w:r>
          </w:p>
        </w:tc>
        <w:tc>
          <w:tcPr>
            <w:tcW w:w="1418" w:type="dxa"/>
            <w:tcBorders>
              <w:top w:val="nil"/>
              <w:left w:val="nil"/>
              <w:bottom w:val="single" w:sz="4" w:space="0" w:color="000000"/>
              <w:right w:val="single" w:sz="4" w:space="0" w:color="000000"/>
            </w:tcBorders>
            <w:shd w:val="clear" w:color="auto" w:fill="auto"/>
            <w:vAlign w:val="center"/>
            <w:hideMark/>
          </w:tcPr>
          <w:p w14:paraId="09768DE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11.460,30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42ED5D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3CEB42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1BE14F1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w:t>
            </w:r>
          </w:p>
        </w:tc>
        <w:tc>
          <w:tcPr>
            <w:tcW w:w="993" w:type="dxa"/>
            <w:tcBorders>
              <w:top w:val="nil"/>
              <w:left w:val="nil"/>
              <w:bottom w:val="single" w:sz="4" w:space="0" w:color="000000"/>
              <w:right w:val="single" w:sz="4" w:space="0" w:color="000000"/>
            </w:tcBorders>
            <w:shd w:val="clear" w:color="auto" w:fill="auto"/>
            <w:vAlign w:val="center"/>
            <w:hideMark/>
          </w:tcPr>
          <w:p w14:paraId="2DA353C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53FEE081"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9FB6F4C"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64</w:t>
            </w:r>
          </w:p>
        </w:tc>
        <w:tc>
          <w:tcPr>
            <w:tcW w:w="2265" w:type="dxa"/>
            <w:tcBorders>
              <w:top w:val="nil"/>
              <w:left w:val="nil"/>
              <w:bottom w:val="single" w:sz="4" w:space="0" w:color="000000"/>
              <w:right w:val="single" w:sz="4" w:space="0" w:color="000000"/>
            </w:tcBorders>
            <w:shd w:val="clear" w:color="auto" w:fill="auto"/>
            <w:vAlign w:val="center"/>
            <w:hideMark/>
          </w:tcPr>
          <w:p w14:paraId="0DE977BA"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Prihodi od imovine</w:t>
            </w:r>
          </w:p>
        </w:tc>
        <w:tc>
          <w:tcPr>
            <w:tcW w:w="1418" w:type="dxa"/>
            <w:tcBorders>
              <w:top w:val="nil"/>
              <w:left w:val="nil"/>
              <w:bottom w:val="single" w:sz="4" w:space="0" w:color="000000"/>
              <w:right w:val="single" w:sz="4" w:space="0" w:color="000000"/>
            </w:tcBorders>
            <w:shd w:val="clear" w:color="auto" w:fill="auto"/>
            <w:vAlign w:val="center"/>
            <w:hideMark/>
          </w:tcPr>
          <w:p w14:paraId="50A2C82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0,22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FE45E4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470082EF"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0,25</w:t>
            </w:r>
          </w:p>
        </w:tc>
        <w:tc>
          <w:tcPr>
            <w:tcW w:w="993" w:type="dxa"/>
            <w:tcBorders>
              <w:top w:val="nil"/>
              <w:left w:val="nil"/>
              <w:bottom w:val="single" w:sz="4" w:space="0" w:color="000000"/>
              <w:right w:val="single" w:sz="4" w:space="0" w:color="000000"/>
            </w:tcBorders>
            <w:shd w:val="clear" w:color="auto" w:fill="auto"/>
            <w:vAlign w:val="center"/>
            <w:hideMark/>
          </w:tcPr>
          <w:p w14:paraId="79ABE1D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113,64</w:t>
            </w:r>
          </w:p>
        </w:tc>
        <w:tc>
          <w:tcPr>
            <w:tcW w:w="993" w:type="dxa"/>
            <w:tcBorders>
              <w:top w:val="nil"/>
              <w:left w:val="nil"/>
              <w:bottom w:val="single" w:sz="4" w:space="0" w:color="000000"/>
              <w:right w:val="single" w:sz="4" w:space="0" w:color="000000"/>
            </w:tcBorders>
            <w:shd w:val="clear" w:color="auto" w:fill="auto"/>
            <w:vAlign w:val="center"/>
            <w:hideMark/>
          </w:tcPr>
          <w:p w14:paraId="5202E458" w14:textId="68EB1266"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25</w:t>
            </w:r>
            <w:r w:rsidR="001F32DC">
              <w:rPr>
                <w:rFonts w:ascii="Times New Roman" w:eastAsia="Times New Roman" w:hAnsi="Times New Roman" w:cs="Times New Roman"/>
                <w:b/>
                <w:bCs/>
                <w:color w:val="000000"/>
                <w:lang w:eastAsia="hr-HR"/>
              </w:rPr>
              <w:t>,00</w:t>
            </w:r>
          </w:p>
        </w:tc>
      </w:tr>
      <w:tr w:rsidR="00E552B3" w:rsidRPr="00F120D7" w14:paraId="3689569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3F79B3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641</w:t>
            </w:r>
          </w:p>
        </w:tc>
        <w:tc>
          <w:tcPr>
            <w:tcW w:w="2265" w:type="dxa"/>
            <w:tcBorders>
              <w:top w:val="nil"/>
              <w:left w:val="nil"/>
              <w:bottom w:val="single" w:sz="4" w:space="0" w:color="000000"/>
              <w:right w:val="single" w:sz="4" w:space="0" w:color="000000"/>
            </w:tcBorders>
            <w:shd w:val="clear" w:color="auto" w:fill="auto"/>
            <w:vAlign w:val="center"/>
            <w:hideMark/>
          </w:tcPr>
          <w:p w14:paraId="7D0A6B7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od financijske imovine</w:t>
            </w:r>
          </w:p>
        </w:tc>
        <w:tc>
          <w:tcPr>
            <w:tcW w:w="1418" w:type="dxa"/>
            <w:tcBorders>
              <w:top w:val="nil"/>
              <w:left w:val="nil"/>
              <w:bottom w:val="single" w:sz="4" w:space="0" w:color="000000"/>
              <w:right w:val="single" w:sz="4" w:space="0" w:color="000000"/>
            </w:tcBorders>
            <w:shd w:val="clear" w:color="auto" w:fill="auto"/>
            <w:vAlign w:val="center"/>
            <w:hideMark/>
          </w:tcPr>
          <w:p w14:paraId="13C9900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0,22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6A6D6E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990040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0,25</w:t>
            </w:r>
          </w:p>
        </w:tc>
        <w:tc>
          <w:tcPr>
            <w:tcW w:w="993" w:type="dxa"/>
            <w:tcBorders>
              <w:top w:val="nil"/>
              <w:left w:val="nil"/>
              <w:bottom w:val="single" w:sz="4" w:space="0" w:color="000000"/>
              <w:right w:val="single" w:sz="4" w:space="0" w:color="000000"/>
            </w:tcBorders>
            <w:shd w:val="clear" w:color="auto" w:fill="auto"/>
            <w:vAlign w:val="center"/>
            <w:hideMark/>
          </w:tcPr>
          <w:p w14:paraId="64F7A11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113,64</w:t>
            </w:r>
          </w:p>
        </w:tc>
        <w:tc>
          <w:tcPr>
            <w:tcW w:w="993" w:type="dxa"/>
            <w:tcBorders>
              <w:top w:val="nil"/>
              <w:left w:val="nil"/>
              <w:bottom w:val="single" w:sz="4" w:space="0" w:color="000000"/>
              <w:right w:val="single" w:sz="4" w:space="0" w:color="000000"/>
            </w:tcBorders>
            <w:shd w:val="clear" w:color="auto" w:fill="auto"/>
            <w:vAlign w:val="center"/>
            <w:hideMark/>
          </w:tcPr>
          <w:p w14:paraId="0AECB93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566A98D4"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4DCC4EED"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6413</w:t>
            </w:r>
          </w:p>
        </w:tc>
        <w:tc>
          <w:tcPr>
            <w:tcW w:w="2265" w:type="dxa"/>
            <w:tcBorders>
              <w:top w:val="nil"/>
              <w:left w:val="nil"/>
              <w:bottom w:val="single" w:sz="4" w:space="0" w:color="000000"/>
              <w:right w:val="single" w:sz="4" w:space="0" w:color="000000"/>
            </w:tcBorders>
            <w:shd w:val="clear" w:color="auto" w:fill="auto"/>
            <w:vAlign w:val="center"/>
            <w:hideMark/>
          </w:tcPr>
          <w:p w14:paraId="31FCB30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Kamate na oročena sredstva i depozite po viđenju</w:t>
            </w:r>
          </w:p>
        </w:tc>
        <w:tc>
          <w:tcPr>
            <w:tcW w:w="1418" w:type="dxa"/>
            <w:tcBorders>
              <w:top w:val="nil"/>
              <w:left w:val="nil"/>
              <w:bottom w:val="single" w:sz="4" w:space="0" w:color="000000"/>
              <w:right w:val="single" w:sz="4" w:space="0" w:color="000000"/>
            </w:tcBorders>
            <w:shd w:val="clear" w:color="auto" w:fill="auto"/>
            <w:vAlign w:val="center"/>
            <w:hideMark/>
          </w:tcPr>
          <w:p w14:paraId="466D516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0,22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AD90D9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3EC7CD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0,25</w:t>
            </w:r>
          </w:p>
        </w:tc>
        <w:tc>
          <w:tcPr>
            <w:tcW w:w="993" w:type="dxa"/>
            <w:tcBorders>
              <w:top w:val="nil"/>
              <w:left w:val="nil"/>
              <w:bottom w:val="single" w:sz="4" w:space="0" w:color="000000"/>
              <w:right w:val="single" w:sz="4" w:space="0" w:color="000000"/>
            </w:tcBorders>
            <w:shd w:val="clear" w:color="auto" w:fill="auto"/>
            <w:vAlign w:val="center"/>
            <w:hideMark/>
          </w:tcPr>
          <w:p w14:paraId="427EAD3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113,64</w:t>
            </w:r>
          </w:p>
        </w:tc>
        <w:tc>
          <w:tcPr>
            <w:tcW w:w="993" w:type="dxa"/>
            <w:tcBorders>
              <w:top w:val="nil"/>
              <w:left w:val="nil"/>
              <w:bottom w:val="single" w:sz="4" w:space="0" w:color="000000"/>
              <w:right w:val="single" w:sz="4" w:space="0" w:color="000000"/>
            </w:tcBorders>
            <w:shd w:val="clear" w:color="auto" w:fill="auto"/>
            <w:vAlign w:val="center"/>
            <w:hideMark/>
          </w:tcPr>
          <w:p w14:paraId="10C7A75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65FB0CD6" w14:textId="77777777" w:rsidTr="00F52211">
        <w:trPr>
          <w:trHeight w:val="66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5275E504"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65</w:t>
            </w:r>
          </w:p>
        </w:tc>
        <w:tc>
          <w:tcPr>
            <w:tcW w:w="2265" w:type="dxa"/>
            <w:tcBorders>
              <w:top w:val="nil"/>
              <w:left w:val="nil"/>
              <w:bottom w:val="single" w:sz="4" w:space="0" w:color="000000"/>
              <w:right w:val="single" w:sz="4" w:space="0" w:color="000000"/>
            </w:tcBorders>
            <w:shd w:val="clear" w:color="auto" w:fill="auto"/>
            <w:vAlign w:val="center"/>
            <w:hideMark/>
          </w:tcPr>
          <w:p w14:paraId="0FDFA8CB"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Prihodi od upravnih i administrativnih pristojbi, pristojbi po posebnim propisima i naknada</w:t>
            </w:r>
          </w:p>
        </w:tc>
        <w:tc>
          <w:tcPr>
            <w:tcW w:w="1418" w:type="dxa"/>
            <w:tcBorders>
              <w:top w:val="nil"/>
              <w:left w:val="nil"/>
              <w:bottom w:val="single" w:sz="4" w:space="0" w:color="000000"/>
              <w:right w:val="single" w:sz="4" w:space="0" w:color="000000"/>
            </w:tcBorders>
            <w:shd w:val="clear" w:color="auto" w:fill="auto"/>
            <w:vAlign w:val="center"/>
            <w:hideMark/>
          </w:tcPr>
          <w:p w14:paraId="125B1B29"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296,90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4C2DBC33"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463,00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199D53C"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1.146,67</w:t>
            </w:r>
          </w:p>
        </w:tc>
        <w:tc>
          <w:tcPr>
            <w:tcW w:w="993" w:type="dxa"/>
            <w:tcBorders>
              <w:top w:val="nil"/>
              <w:left w:val="nil"/>
              <w:bottom w:val="single" w:sz="4" w:space="0" w:color="000000"/>
              <w:right w:val="single" w:sz="4" w:space="0" w:color="000000"/>
            </w:tcBorders>
            <w:shd w:val="clear" w:color="auto" w:fill="auto"/>
            <w:vAlign w:val="center"/>
            <w:hideMark/>
          </w:tcPr>
          <w:p w14:paraId="55961711"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386,21</w:t>
            </w:r>
          </w:p>
        </w:tc>
        <w:tc>
          <w:tcPr>
            <w:tcW w:w="993" w:type="dxa"/>
            <w:tcBorders>
              <w:top w:val="nil"/>
              <w:left w:val="nil"/>
              <w:bottom w:val="single" w:sz="4" w:space="0" w:color="000000"/>
              <w:right w:val="single" w:sz="4" w:space="0" w:color="000000"/>
            </w:tcBorders>
            <w:shd w:val="clear" w:color="auto" w:fill="auto"/>
            <w:vAlign w:val="center"/>
            <w:hideMark/>
          </w:tcPr>
          <w:p w14:paraId="79FFD0D2"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247,66</w:t>
            </w:r>
          </w:p>
        </w:tc>
      </w:tr>
      <w:tr w:rsidR="00E552B3" w:rsidRPr="00F120D7" w14:paraId="65FF28D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B28540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652</w:t>
            </w:r>
          </w:p>
        </w:tc>
        <w:tc>
          <w:tcPr>
            <w:tcW w:w="2265" w:type="dxa"/>
            <w:tcBorders>
              <w:top w:val="nil"/>
              <w:left w:val="nil"/>
              <w:bottom w:val="single" w:sz="4" w:space="0" w:color="000000"/>
              <w:right w:val="single" w:sz="4" w:space="0" w:color="000000"/>
            </w:tcBorders>
            <w:shd w:val="clear" w:color="auto" w:fill="auto"/>
            <w:vAlign w:val="center"/>
            <w:hideMark/>
          </w:tcPr>
          <w:p w14:paraId="052C1B5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po posebnim propisima</w:t>
            </w:r>
          </w:p>
        </w:tc>
        <w:tc>
          <w:tcPr>
            <w:tcW w:w="1418" w:type="dxa"/>
            <w:tcBorders>
              <w:top w:val="nil"/>
              <w:left w:val="nil"/>
              <w:bottom w:val="single" w:sz="4" w:space="0" w:color="000000"/>
              <w:right w:val="single" w:sz="4" w:space="0" w:color="000000"/>
            </w:tcBorders>
            <w:shd w:val="clear" w:color="auto" w:fill="auto"/>
            <w:vAlign w:val="center"/>
            <w:hideMark/>
          </w:tcPr>
          <w:p w14:paraId="08216BB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296,90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52E0B2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26F599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1.146,67</w:t>
            </w:r>
          </w:p>
        </w:tc>
        <w:tc>
          <w:tcPr>
            <w:tcW w:w="993" w:type="dxa"/>
            <w:tcBorders>
              <w:top w:val="nil"/>
              <w:left w:val="nil"/>
              <w:bottom w:val="single" w:sz="4" w:space="0" w:color="000000"/>
              <w:right w:val="single" w:sz="4" w:space="0" w:color="000000"/>
            </w:tcBorders>
            <w:shd w:val="clear" w:color="auto" w:fill="auto"/>
            <w:vAlign w:val="center"/>
            <w:hideMark/>
          </w:tcPr>
          <w:p w14:paraId="14CD086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386,21</w:t>
            </w:r>
          </w:p>
        </w:tc>
        <w:tc>
          <w:tcPr>
            <w:tcW w:w="993" w:type="dxa"/>
            <w:tcBorders>
              <w:top w:val="nil"/>
              <w:left w:val="nil"/>
              <w:bottom w:val="single" w:sz="4" w:space="0" w:color="000000"/>
              <w:right w:val="single" w:sz="4" w:space="0" w:color="000000"/>
            </w:tcBorders>
            <w:shd w:val="clear" w:color="auto" w:fill="auto"/>
            <w:vAlign w:val="center"/>
            <w:hideMark/>
          </w:tcPr>
          <w:p w14:paraId="18C8AF7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EE942E6"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8CF8393"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6526</w:t>
            </w:r>
          </w:p>
        </w:tc>
        <w:tc>
          <w:tcPr>
            <w:tcW w:w="2265" w:type="dxa"/>
            <w:tcBorders>
              <w:top w:val="nil"/>
              <w:left w:val="nil"/>
              <w:bottom w:val="single" w:sz="4" w:space="0" w:color="000000"/>
              <w:right w:val="single" w:sz="4" w:space="0" w:color="000000"/>
            </w:tcBorders>
            <w:shd w:val="clear" w:color="auto" w:fill="auto"/>
            <w:vAlign w:val="center"/>
            <w:hideMark/>
          </w:tcPr>
          <w:p w14:paraId="1BF7575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nespomenuti prihodi</w:t>
            </w:r>
          </w:p>
        </w:tc>
        <w:tc>
          <w:tcPr>
            <w:tcW w:w="1418" w:type="dxa"/>
            <w:tcBorders>
              <w:top w:val="nil"/>
              <w:left w:val="nil"/>
              <w:bottom w:val="single" w:sz="4" w:space="0" w:color="000000"/>
              <w:right w:val="single" w:sz="4" w:space="0" w:color="000000"/>
            </w:tcBorders>
            <w:shd w:val="clear" w:color="auto" w:fill="auto"/>
            <w:vAlign w:val="center"/>
            <w:hideMark/>
          </w:tcPr>
          <w:p w14:paraId="7ADECCF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296,90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06A258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32F7BF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1.146,67</w:t>
            </w:r>
          </w:p>
        </w:tc>
        <w:tc>
          <w:tcPr>
            <w:tcW w:w="993" w:type="dxa"/>
            <w:tcBorders>
              <w:top w:val="nil"/>
              <w:left w:val="nil"/>
              <w:bottom w:val="single" w:sz="4" w:space="0" w:color="000000"/>
              <w:right w:val="single" w:sz="4" w:space="0" w:color="000000"/>
            </w:tcBorders>
            <w:shd w:val="clear" w:color="auto" w:fill="auto"/>
            <w:vAlign w:val="center"/>
            <w:hideMark/>
          </w:tcPr>
          <w:p w14:paraId="1FB2D81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386,21</w:t>
            </w:r>
          </w:p>
        </w:tc>
        <w:tc>
          <w:tcPr>
            <w:tcW w:w="993" w:type="dxa"/>
            <w:tcBorders>
              <w:top w:val="nil"/>
              <w:left w:val="nil"/>
              <w:bottom w:val="single" w:sz="4" w:space="0" w:color="000000"/>
              <w:right w:val="single" w:sz="4" w:space="0" w:color="000000"/>
            </w:tcBorders>
            <w:shd w:val="clear" w:color="auto" w:fill="auto"/>
            <w:vAlign w:val="center"/>
            <w:hideMark/>
          </w:tcPr>
          <w:p w14:paraId="2B17E64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4D6D04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5B851FC"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67</w:t>
            </w:r>
          </w:p>
        </w:tc>
        <w:tc>
          <w:tcPr>
            <w:tcW w:w="2265" w:type="dxa"/>
            <w:tcBorders>
              <w:top w:val="nil"/>
              <w:left w:val="nil"/>
              <w:bottom w:val="single" w:sz="4" w:space="0" w:color="000000"/>
              <w:right w:val="single" w:sz="4" w:space="0" w:color="000000"/>
            </w:tcBorders>
            <w:shd w:val="clear" w:color="auto" w:fill="auto"/>
            <w:vAlign w:val="center"/>
            <w:hideMark/>
          </w:tcPr>
          <w:p w14:paraId="6B2E27FB"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Prihodi iz nadležnog proračuna i od HZZO-a temeljem ugovornih obveza</w:t>
            </w:r>
          </w:p>
        </w:tc>
        <w:tc>
          <w:tcPr>
            <w:tcW w:w="1418" w:type="dxa"/>
            <w:tcBorders>
              <w:top w:val="nil"/>
              <w:left w:val="nil"/>
              <w:bottom w:val="single" w:sz="4" w:space="0" w:color="000000"/>
              <w:right w:val="single" w:sz="4" w:space="0" w:color="000000"/>
            </w:tcBorders>
            <w:shd w:val="clear" w:color="auto" w:fill="auto"/>
            <w:vAlign w:val="center"/>
            <w:hideMark/>
          </w:tcPr>
          <w:p w14:paraId="64C0B68D"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295.662,90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0282E7E"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402.918,00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08C678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331.975,82</w:t>
            </w:r>
          </w:p>
        </w:tc>
        <w:tc>
          <w:tcPr>
            <w:tcW w:w="993" w:type="dxa"/>
            <w:tcBorders>
              <w:top w:val="nil"/>
              <w:left w:val="nil"/>
              <w:bottom w:val="single" w:sz="4" w:space="0" w:color="000000"/>
              <w:right w:val="single" w:sz="4" w:space="0" w:color="000000"/>
            </w:tcBorders>
            <w:shd w:val="clear" w:color="auto" w:fill="auto"/>
            <w:vAlign w:val="center"/>
            <w:hideMark/>
          </w:tcPr>
          <w:p w14:paraId="156B572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112,28</w:t>
            </w:r>
          </w:p>
        </w:tc>
        <w:tc>
          <w:tcPr>
            <w:tcW w:w="993" w:type="dxa"/>
            <w:tcBorders>
              <w:top w:val="nil"/>
              <w:left w:val="nil"/>
              <w:bottom w:val="single" w:sz="4" w:space="0" w:color="000000"/>
              <w:right w:val="single" w:sz="4" w:space="0" w:color="000000"/>
            </w:tcBorders>
            <w:shd w:val="clear" w:color="auto" w:fill="auto"/>
            <w:vAlign w:val="center"/>
            <w:hideMark/>
          </w:tcPr>
          <w:p w14:paraId="51FBD2E7"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82,39</w:t>
            </w:r>
          </w:p>
        </w:tc>
      </w:tr>
      <w:tr w:rsidR="00E552B3" w:rsidRPr="00F120D7" w14:paraId="07AA177B" w14:textId="77777777" w:rsidTr="00F52211">
        <w:trPr>
          <w:trHeight w:val="66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001A81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671</w:t>
            </w:r>
          </w:p>
        </w:tc>
        <w:tc>
          <w:tcPr>
            <w:tcW w:w="2265" w:type="dxa"/>
            <w:tcBorders>
              <w:top w:val="nil"/>
              <w:left w:val="nil"/>
              <w:bottom w:val="single" w:sz="4" w:space="0" w:color="000000"/>
              <w:right w:val="single" w:sz="4" w:space="0" w:color="000000"/>
            </w:tcBorders>
            <w:shd w:val="clear" w:color="auto" w:fill="auto"/>
            <w:vAlign w:val="center"/>
            <w:hideMark/>
          </w:tcPr>
          <w:p w14:paraId="5A9926FB"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xml:space="preserve">Prihodi iz nadležnog proračuna za financiranje redovne </w:t>
            </w:r>
            <w:r w:rsidRPr="00F120D7">
              <w:rPr>
                <w:rFonts w:ascii="Times New Roman" w:eastAsia="Times New Roman" w:hAnsi="Times New Roman" w:cs="Times New Roman"/>
                <w:color w:val="000000"/>
                <w:lang w:eastAsia="hr-HR"/>
              </w:rPr>
              <w:lastRenderedPageBreak/>
              <w:t>djelatnosti proračunskih korisnika</w:t>
            </w:r>
          </w:p>
        </w:tc>
        <w:tc>
          <w:tcPr>
            <w:tcW w:w="1418" w:type="dxa"/>
            <w:tcBorders>
              <w:top w:val="nil"/>
              <w:left w:val="nil"/>
              <w:bottom w:val="single" w:sz="4" w:space="0" w:color="000000"/>
              <w:right w:val="single" w:sz="4" w:space="0" w:color="000000"/>
            </w:tcBorders>
            <w:shd w:val="clear" w:color="auto" w:fill="auto"/>
            <w:vAlign w:val="center"/>
            <w:hideMark/>
          </w:tcPr>
          <w:p w14:paraId="40795BB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295.662,90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AC0CF8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1E6498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331.975,82</w:t>
            </w:r>
          </w:p>
        </w:tc>
        <w:tc>
          <w:tcPr>
            <w:tcW w:w="993" w:type="dxa"/>
            <w:tcBorders>
              <w:top w:val="nil"/>
              <w:left w:val="nil"/>
              <w:bottom w:val="single" w:sz="4" w:space="0" w:color="000000"/>
              <w:right w:val="single" w:sz="4" w:space="0" w:color="000000"/>
            </w:tcBorders>
            <w:shd w:val="clear" w:color="auto" w:fill="auto"/>
            <w:vAlign w:val="center"/>
            <w:hideMark/>
          </w:tcPr>
          <w:p w14:paraId="1A9FB7E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112,28</w:t>
            </w:r>
          </w:p>
        </w:tc>
        <w:tc>
          <w:tcPr>
            <w:tcW w:w="993" w:type="dxa"/>
            <w:tcBorders>
              <w:top w:val="nil"/>
              <w:left w:val="nil"/>
              <w:bottom w:val="single" w:sz="4" w:space="0" w:color="000000"/>
              <w:right w:val="single" w:sz="4" w:space="0" w:color="000000"/>
            </w:tcBorders>
            <w:shd w:val="clear" w:color="auto" w:fill="auto"/>
            <w:vAlign w:val="center"/>
            <w:hideMark/>
          </w:tcPr>
          <w:p w14:paraId="7C5FF0E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30E8B3E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3536E7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6711</w:t>
            </w:r>
          </w:p>
        </w:tc>
        <w:tc>
          <w:tcPr>
            <w:tcW w:w="2265" w:type="dxa"/>
            <w:tcBorders>
              <w:top w:val="nil"/>
              <w:left w:val="nil"/>
              <w:bottom w:val="single" w:sz="4" w:space="0" w:color="000000"/>
              <w:right w:val="single" w:sz="4" w:space="0" w:color="000000"/>
            </w:tcBorders>
            <w:shd w:val="clear" w:color="auto" w:fill="auto"/>
            <w:vAlign w:val="center"/>
            <w:hideMark/>
          </w:tcPr>
          <w:p w14:paraId="52C1F8E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iz nadležnog proračuna za financiranje rashoda poslovanja</w:t>
            </w:r>
          </w:p>
        </w:tc>
        <w:tc>
          <w:tcPr>
            <w:tcW w:w="1418" w:type="dxa"/>
            <w:tcBorders>
              <w:top w:val="nil"/>
              <w:left w:val="nil"/>
              <w:bottom w:val="single" w:sz="4" w:space="0" w:color="000000"/>
              <w:right w:val="single" w:sz="4" w:space="0" w:color="000000"/>
            </w:tcBorders>
            <w:shd w:val="clear" w:color="auto" w:fill="auto"/>
            <w:vAlign w:val="center"/>
            <w:hideMark/>
          </w:tcPr>
          <w:p w14:paraId="7677047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294.086,75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4EF44DA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D5417D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331.430,07</w:t>
            </w:r>
          </w:p>
        </w:tc>
        <w:tc>
          <w:tcPr>
            <w:tcW w:w="993" w:type="dxa"/>
            <w:tcBorders>
              <w:top w:val="nil"/>
              <w:left w:val="nil"/>
              <w:bottom w:val="single" w:sz="4" w:space="0" w:color="000000"/>
              <w:right w:val="single" w:sz="4" w:space="0" w:color="000000"/>
            </w:tcBorders>
            <w:shd w:val="clear" w:color="auto" w:fill="auto"/>
            <w:vAlign w:val="center"/>
            <w:hideMark/>
          </w:tcPr>
          <w:p w14:paraId="6E23B64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112,7</w:t>
            </w:r>
          </w:p>
        </w:tc>
        <w:tc>
          <w:tcPr>
            <w:tcW w:w="993" w:type="dxa"/>
            <w:tcBorders>
              <w:top w:val="nil"/>
              <w:left w:val="nil"/>
              <w:bottom w:val="single" w:sz="4" w:space="0" w:color="000000"/>
              <w:right w:val="single" w:sz="4" w:space="0" w:color="000000"/>
            </w:tcBorders>
            <w:shd w:val="clear" w:color="auto" w:fill="auto"/>
            <w:vAlign w:val="center"/>
            <w:hideMark/>
          </w:tcPr>
          <w:p w14:paraId="6B1572F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40EA3D4" w14:textId="77777777" w:rsidTr="00F52211">
        <w:trPr>
          <w:trHeight w:val="645"/>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A4B02C7"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6712</w:t>
            </w:r>
          </w:p>
        </w:tc>
        <w:tc>
          <w:tcPr>
            <w:tcW w:w="2265" w:type="dxa"/>
            <w:tcBorders>
              <w:top w:val="nil"/>
              <w:left w:val="nil"/>
              <w:bottom w:val="single" w:sz="4" w:space="0" w:color="000000"/>
              <w:right w:val="single" w:sz="4" w:space="0" w:color="000000"/>
            </w:tcBorders>
            <w:shd w:val="clear" w:color="auto" w:fill="auto"/>
            <w:vAlign w:val="center"/>
            <w:hideMark/>
          </w:tcPr>
          <w:p w14:paraId="5AB6864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iz nadležnog proračuna za financiranje rashoda za nabavu nefinancijske imovine</w:t>
            </w:r>
          </w:p>
        </w:tc>
        <w:tc>
          <w:tcPr>
            <w:tcW w:w="1418" w:type="dxa"/>
            <w:tcBorders>
              <w:top w:val="nil"/>
              <w:left w:val="nil"/>
              <w:bottom w:val="single" w:sz="4" w:space="0" w:color="000000"/>
              <w:right w:val="single" w:sz="4" w:space="0" w:color="000000"/>
            </w:tcBorders>
            <w:shd w:val="clear" w:color="auto" w:fill="auto"/>
            <w:vAlign w:val="center"/>
            <w:hideMark/>
          </w:tcPr>
          <w:p w14:paraId="274A208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1.576,15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1CF4AA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6870314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545,75</w:t>
            </w:r>
          </w:p>
        </w:tc>
        <w:tc>
          <w:tcPr>
            <w:tcW w:w="993" w:type="dxa"/>
            <w:tcBorders>
              <w:top w:val="nil"/>
              <w:left w:val="nil"/>
              <w:bottom w:val="single" w:sz="4" w:space="0" w:color="000000"/>
              <w:right w:val="single" w:sz="4" w:space="0" w:color="000000"/>
            </w:tcBorders>
            <w:shd w:val="clear" w:color="auto" w:fill="auto"/>
            <w:vAlign w:val="center"/>
            <w:hideMark/>
          </w:tcPr>
          <w:p w14:paraId="331E47C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34,63</w:t>
            </w:r>
          </w:p>
        </w:tc>
        <w:tc>
          <w:tcPr>
            <w:tcW w:w="993" w:type="dxa"/>
            <w:tcBorders>
              <w:top w:val="nil"/>
              <w:left w:val="nil"/>
              <w:bottom w:val="single" w:sz="4" w:space="0" w:color="000000"/>
              <w:right w:val="single" w:sz="4" w:space="0" w:color="000000"/>
            </w:tcBorders>
            <w:shd w:val="clear" w:color="auto" w:fill="auto"/>
            <w:vAlign w:val="center"/>
            <w:hideMark/>
          </w:tcPr>
          <w:p w14:paraId="2BB3995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F52211" w:rsidRPr="00F120D7" w14:paraId="41C6926B" w14:textId="77777777" w:rsidTr="00F52211">
        <w:trPr>
          <w:trHeight w:val="375"/>
          <w:jc w:val="center"/>
        </w:trPr>
        <w:tc>
          <w:tcPr>
            <w:tcW w:w="2972" w:type="dxa"/>
            <w:gridSpan w:val="3"/>
            <w:tcBorders>
              <w:top w:val="single" w:sz="4" w:space="0" w:color="000000"/>
              <w:bottom w:val="single" w:sz="4" w:space="0" w:color="000000"/>
            </w:tcBorders>
            <w:shd w:val="clear" w:color="000000" w:fill="auto"/>
            <w:vAlign w:val="center"/>
          </w:tcPr>
          <w:p w14:paraId="76F806C0" w14:textId="77777777" w:rsidR="00F52211" w:rsidRPr="00F120D7" w:rsidRDefault="00F52211" w:rsidP="005C0B7C">
            <w:pPr>
              <w:spacing w:after="0" w:line="240" w:lineRule="auto"/>
              <w:jc w:val="center"/>
              <w:rPr>
                <w:rFonts w:ascii="Times New Roman" w:eastAsia="Times New Roman" w:hAnsi="Times New Roman" w:cs="Times New Roman"/>
                <w:b/>
                <w:bCs/>
                <w:color w:val="000000"/>
                <w:lang w:eastAsia="hr-HR"/>
              </w:rPr>
            </w:pPr>
          </w:p>
        </w:tc>
        <w:tc>
          <w:tcPr>
            <w:tcW w:w="1418" w:type="dxa"/>
            <w:tcBorders>
              <w:top w:val="nil"/>
              <w:bottom w:val="single" w:sz="4" w:space="0" w:color="000000"/>
            </w:tcBorders>
            <w:shd w:val="clear" w:color="000000" w:fill="auto"/>
            <w:vAlign w:val="center"/>
          </w:tcPr>
          <w:p w14:paraId="2427EF89" w14:textId="77777777" w:rsidR="00F52211" w:rsidRPr="00F120D7" w:rsidRDefault="00F52211" w:rsidP="005C0B7C">
            <w:pPr>
              <w:spacing w:after="0" w:line="240" w:lineRule="auto"/>
              <w:jc w:val="center"/>
              <w:rPr>
                <w:rFonts w:ascii="Times New Roman" w:eastAsia="Times New Roman" w:hAnsi="Times New Roman" w:cs="Times New Roman"/>
                <w:b/>
                <w:bCs/>
                <w:color w:val="000000"/>
                <w:lang w:eastAsia="hr-HR"/>
              </w:rPr>
            </w:pPr>
          </w:p>
        </w:tc>
        <w:tc>
          <w:tcPr>
            <w:tcW w:w="1559" w:type="dxa"/>
            <w:gridSpan w:val="2"/>
            <w:tcBorders>
              <w:top w:val="nil"/>
              <w:bottom w:val="single" w:sz="4" w:space="0" w:color="000000"/>
            </w:tcBorders>
            <w:shd w:val="clear" w:color="000000" w:fill="auto"/>
            <w:vAlign w:val="center"/>
          </w:tcPr>
          <w:p w14:paraId="2B1D10F2" w14:textId="77777777" w:rsidR="00F52211" w:rsidRPr="00F120D7" w:rsidRDefault="00F52211" w:rsidP="005C0B7C">
            <w:pPr>
              <w:spacing w:after="0" w:line="240" w:lineRule="auto"/>
              <w:jc w:val="center"/>
              <w:rPr>
                <w:rFonts w:ascii="Times New Roman" w:eastAsia="Times New Roman" w:hAnsi="Times New Roman" w:cs="Times New Roman"/>
                <w:b/>
                <w:bCs/>
                <w:color w:val="000000"/>
                <w:lang w:eastAsia="hr-HR"/>
              </w:rPr>
            </w:pPr>
          </w:p>
        </w:tc>
        <w:tc>
          <w:tcPr>
            <w:tcW w:w="1558" w:type="dxa"/>
            <w:gridSpan w:val="2"/>
            <w:tcBorders>
              <w:top w:val="nil"/>
              <w:bottom w:val="single" w:sz="4" w:space="0" w:color="000000"/>
            </w:tcBorders>
            <w:shd w:val="clear" w:color="000000" w:fill="auto"/>
            <w:vAlign w:val="center"/>
          </w:tcPr>
          <w:p w14:paraId="151FD3E8" w14:textId="77777777" w:rsidR="00F52211" w:rsidRPr="00F120D7" w:rsidRDefault="00F52211" w:rsidP="005C0B7C">
            <w:pPr>
              <w:spacing w:after="0" w:line="240" w:lineRule="auto"/>
              <w:jc w:val="center"/>
              <w:rPr>
                <w:rFonts w:ascii="Times New Roman" w:eastAsia="Times New Roman" w:hAnsi="Times New Roman" w:cs="Times New Roman"/>
                <w:b/>
                <w:bCs/>
                <w:color w:val="000000"/>
                <w:lang w:eastAsia="hr-HR"/>
              </w:rPr>
            </w:pPr>
          </w:p>
        </w:tc>
        <w:tc>
          <w:tcPr>
            <w:tcW w:w="993" w:type="dxa"/>
            <w:tcBorders>
              <w:top w:val="nil"/>
              <w:bottom w:val="single" w:sz="4" w:space="0" w:color="000000"/>
            </w:tcBorders>
            <w:shd w:val="clear" w:color="000000" w:fill="auto"/>
            <w:vAlign w:val="center"/>
          </w:tcPr>
          <w:p w14:paraId="01112368" w14:textId="77777777" w:rsidR="00F52211" w:rsidRPr="00F120D7" w:rsidRDefault="00F52211" w:rsidP="005C0B7C">
            <w:pPr>
              <w:spacing w:after="0" w:line="240" w:lineRule="auto"/>
              <w:jc w:val="center"/>
              <w:rPr>
                <w:rFonts w:ascii="Times New Roman" w:eastAsia="Times New Roman" w:hAnsi="Times New Roman" w:cs="Times New Roman"/>
                <w:b/>
                <w:bCs/>
                <w:color w:val="000000"/>
                <w:lang w:eastAsia="hr-HR"/>
              </w:rPr>
            </w:pPr>
          </w:p>
        </w:tc>
        <w:tc>
          <w:tcPr>
            <w:tcW w:w="993" w:type="dxa"/>
            <w:tcBorders>
              <w:top w:val="nil"/>
              <w:bottom w:val="single" w:sz="4" w:space="0" w:color="000000"/>
            </w:tcBorders>
            <w:shd w:val="clear" w:color="000000" w:fill="auto"/>
            <w:vAlign w:val="center"/>
          </w:tcPr>
          <w:p w14:paraId="09880222" w14:textId="77777777" w:rsidR="00F52211" w:rsidRPr="00F120D7" w:rsidRDefault="00F52211" w:rsidP="005C0B7C">
            <w:pPr>
              <w:spacing w:after="0" w:line="240" w:lineRule="auto"/>
              <w:jc w:val="center"/>
              <w:rPr>
                <w:rFonts w:ascii="Times New Roman" w:eastAsia="Times New Roman" w:hAnsi="Times New Roman" w:cs="Times New Roman"/>
                <w:b/>
                <w:bCs/>
                <w:color w:val="000000"/>
                <w:lang w:eastAsia="hr-HR"/>
              </w:rPr>
            </w:pPr>
          </w:p>
        </w:tc>
      </w:tr>
      <w:tr w:rsidR="00E552B3" w:rsidRPr="00F120D7" w14:paraId="624C2B2A" w14:textId="77777777" w:rsidTr="00F52211">
        <w:trPr>
          <w:trHeight w:val="37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60AFD434"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418" w:type="dxa"/>
            <w:tcBorders>
              <w:top w:val="nil"/>
              <w:left w:val="nil"/>
              <w:bottom w:val="single" w:sz="4" w:space="0" w:color="000000"/>
              <w:right w:val="single" w:sz="4" w:space="0" w:color="000000"/>
            </w:tcBorders>
            <w:shd w:val="clear" w:color="000000" w:fill="DCDCDC"/>
            <w:vAlign w:val="center"/>
            <w:hideMark/>
          </w:tcPr>
          <w:p w14:paraId="546CC713"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Ostvarenje / izvršenje </w:t>
            </w:r>
            <w:r w:rsidRPr="00F120D7">
              <w:rPr>
                <w:rFonts w:ascii="Times New Roman" w:eastAsia="Times New Roman" w:hAnsi="Times New Roman" w:cs="Times New Roman"/>
                <w:b/>
                <w:bCs/>
                <w:color w:val="000000"/>
                <w:lang w:eastAsia="hr-HR"/>
              </w:rPr>
              <w:br/>
              <w:t>31.12.2023.</w:t>
            </w:r>
          </w:p>
        </w:tc>
        <w:tc>
          <w:tcPr>
            <w:tcW w:w="1559" w:type="dxa"/>
            <w:gridSpan w:val="2"/>
            <w:tcBorders>
              <w:top w:val="nil"/>
              <w:left w:val="nil"/>
              <w:bottom w:val="single" w:sz="4" w:space="0" w:color="000000"/>
              <w:right w:val="single" w:sz="4" w:space="0" w:color="000000"/>
            </w:tcBorders>
            <w:shd w:val="clear" w:color="000000" w:fill="DCDCDC"/>
            <w:vAlign w:val="center"/>
            <w:hideMark/>
          </w:tcPr>
          <w:p w14:paraId="6C1E0B3A"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8" w:type="dxa"/>
            <w:gridSpan w:val="2"/>
            <w:tcBorders>
              <w:top w:val="nil"/>
              <w:left w:val="nil"/>
              <w:bottom w:val="single" w:sz="4" w:space="0" w:color="000000"/>
              <w:right w:val="single" w:sz="4" w:space="0" w:color="000000"/>
            </w:tcBorders>
            <w:shd w:val="clear" w:color="000000" w:fill="DCDCDC"/>
            <w:vAlign w:val="center"/>
            <w:hideMark/>
          </w:tcPr>
          <w:p w14:paraId="57A19C6A"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Ostvarenje / izvršenje </w:t>
            </w:r>
            <w:r w:rsidRPr="00F120D7">
              <w:rPr>
                <w:rFonts w:ascii="Times New Roman" w:eastAsia="Times New Roman" w:hAnsi="Times New Roman" w:cs="Times New Roman"/>
                <w:b/>
                <w:bCs/>
                <w:color w:val="000000"/>
                <w:lang w:eastAsia="hr-HR"/>
              </w:rPr>
              <w:br/>
              <w:t>31.12.2024.</w:t>
            </w:r>
          </w:p>
        </w:tc>
        <w:tc>
          <w:tcPr>
            <w:tcW w:w="993" w:type="dxa"/>
            <w:tcBorders>
              <w:top w:val="nil"/>
              <w:left w:val="nil"/>
              <w:bottom w:val="single" w:sz="4" w:space="0" w:color="000000"/>
              <w:right w:val="single" w:sz="4" w:space="0" w:color="000000"/>
            </w:tcBorders>
            <w:shd w:val="clear" w:color="000000" w:fill="DCDCDC"/>
            <w:vAlign w:val="center"/>
            <w:hideMark/>
          </w:tcPr>
          <w:p w14:paraId="6DFA8185"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2</w:t>
            </w:r>
          </w:p>
        </w:tc>
        <w:tc>
          <w:tcPr>
            <w:tcW w:w="993" w:type="dxa"/>
            <w:tcBorders>
              <w:top w:val="nil"/>
              <w:left w:val="nil"/>
              <w:bottom w:val="single" w:sz="4" w:space="0" w:color="000000"/>
              <w:right w:val="single" w:sz="4" w:space="0" w:color="000000"/>
            </w:tcBorders>
            <w:shd w:val="clear" w:color="000000" w:fill="DCDCDC"/>
            <w:vAlign w:val="center"/>
            <w:hideMark/>
          </w:tcPr>
          <w:p w14:paraId="3E47C48D"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r>
      <w:tr w:rsidR="00E552B3" w:rsidRPr="00F120D7" w14:paraId="4586D9B8" w14:textId="77777777" w:rsidTr="00F52211">
        <w:trPr>
          <w:trHeight w:val="210"/>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1F20D136"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418" w:type="dxa"/>
            <w:tcBorders>
              <w:top w:val="nil"/>
              <w:left w:val="nil"/>
              <w:bottom w:val="single" w:sz="4" w:space="0" w:color="000000"/>
              <w:right w:val="single" w:sz="4" w:space="0" w:color="000000"/>
            </w:tcBorders>
            <w:shd w:val="clear" w:color="auto" w:fill="auto"/>
            <w:vAlign w:val="center"/>
            <w:hideMark/>
          </w:tcPr>
          <w:p w14:paraId="4906CE1F"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51E5C5F"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8CA6B93"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288DAFAF"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3" w:type="dxa"/>
            <w:tcBorders>
              <w:top w:val="nil"/>
              <w:left w:val="nil"/>
              <w:bottom w:val="single" w:sz="4" w:space="0" w:color="000000"/>
              <w:right w:val="single" w:sz="4" w:space="0" w:color="000000"/>
            </w:tcBorders>
            <w:shd w:val="clear" w:color="auto" w:fill="auto"/>
            <w:vAlign w:val="center"/>
            <w:hideMark/>
          </w:tcPr>
          <w:p w14:paraId="5E9998C6" w14:textId="77777777" w:rsidR="00367EB7" w:rsidRPr="00F120D7" w:rsidRDefault="00367EB7"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E552B3" w:rsidRPr="00F120D7" w14:paraId="20425629"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15B2FFF"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2265" w:type="dxa"/>
            <w:tcBorders>
              <w:top w:val="nil"/>
              <w:left w:val="nil"/>
              <w:bottom w:val="single" w:sz="4" w:space="0" w:color="000000"/>
              <w:right w:val="single" w:sz="4" w:space="0" w:color="000000"/>
            </w:tcBorders>
            <w:shd w:val="clear" w:color="auto" w:fill="auto"/>
            <w:vAlign w:val="center"/>
            <w:hideMark/>
          </w:tcPr>
          <w:p w14:paraId="024D46C5"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UKUPNO RASHODI</w:t>
            </w:r>
          </w:p>
        </w:tc>
        <w:tc>
          <w:tcPr>
            <w:tcW w:w="1418" w:type="dxa"/>
            <w:tcBorders>
              <w:top w:val="nil"/>
              <w:left w:val="nil"/>
              <w:bottom w:val="single" w:sz="4" w:space="0" w:color="000000"/>
              <w:right w:val="single" w:sz="4" w:space="0" w:color="000000"/>
            </w:tcBorders>
            <w:shd w:val="clear" w:color="auto" w:fill="auto"/>
            <w:vAlign w:val="center"/>
            <w:hideMark/>
          </w:tcPr>
          <w:p w14:paraId="69A0B414"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720.666,94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5294C2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C5BE37E"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993" w:type="dxa"/>
            <w:tcBorders>
              <w:top w:val="nil"/>
              <w:left w:val="nil"/>
              <w:bottom w:val="single" w:sz="4" w:space="0" w:color="000000"/>
              <w:right w:val="single" w:sz="4" w:space="0" w:color="000000"/>
            </w:tcBorders>
            <w:shd w:val="clear" w:color="auto" w:fill="auto"/>
            <w:vAlign w:val="center"/>
            <w:hideMark/>
          </w:tcPr>
          <w:p w14:paraId="5C331264"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102,4</w:t>
            </w:r>
          </w:p>
        </w:tc>
        <w:tc>
          <w:tcPr>
            <w:tcW w:w="993" w:type="dxa"/>
            <w:tcBorders>
              <w:top w:val="nil"/>
              <w:left w:val="nil"/>
              <w:bottom w:val="single" w:sz="4" w:space="0" w:color="000000"/>
              <w:right w:val="single" w:sz="4" w:space="0" w:color="000000"/>
            </w:tcBorders>
            <w:shd w:val="clear" w:color="auto" w:fill="auto"/>
            <w:vAlign w:val="center"/>
            <w:hideMark/>
          </w:tcPr>
          <w:p w14:paraId="2E557A52"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r>
      <w:tr w:rsidR="00E552B3" w:rsidRPr="00F120D7" w14:paraId="28394DAF" w14:textId="77777777" w:rsidTr="00F52211">
        <w:trPr>
          <w:trHeight w:val="34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BF0297B"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2265" w:type="dxa"/>
            <w:tcBorders>
              <w:top w:val="nil"/>
              <w:left w:val="nil"/>
              <w:bottom w:val="single" w:sz="4" w:space="0" w:color="000000"/>
              <w:right w:val="single" w:sz="4" w:space="0" w:color="000000"/>
            </w:tcBorders>
            <w:shd w:val="clear" w:color="auto" w:fill="auto"/>
            <w:vAlign w:val="center"/>
            <w:hideMark/>
          </w:tcPr>
          <w:p w14:paraId="37740B35"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Rashodi poslovanja</w:t>
            </w:r>
          </w:p>
        </w:tc>
        <w:tc>
          <w:tcPr>
            <w:tcW w:w="1418" w:type="dxa"/>
            <w:tcBorders>
              <w:top w:val="nil"/>
              <w:left w:val="nil"/>
              <w:bottom w:val="single" w:sz="4" w:space="0" w:color="000000"/>
              <w:right w:val="single" w:sz="4" w:space="0" w:color="000000"/>
            </w:tcBorders>
            <w:shd w:val="clear" w:color="auto" w:fill="auto"/>
            <w:vAlign w:val="center"/>
            <w:hideMark/>
          </w:tcPr>
          <w:p w14:paraId="79DEBA94"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707.184,24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0A8C729"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822.060,00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5ED526E"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737.459,67</w:t>
            </w:r>
          </w:p>
        </w:tc>
        <w:tc>
          <w:tcPr>
            <w:tcW w:w="993" w:type="dxa"/>
            <w:tcBorders>
              <w:top w:val="nil"/>
              <w:left w:val="nil"/>
              <w:bottom w:val="single" w:sz="4" w:space="0" w:color="000000"/>
              <w:right w:val="single" w:sz="4" w:space="0" w:color="000000"/>
            </w:tcBorders>
            <w:shd w:val="clear" w:color="auto" w:fill="auto"/>
            <w:vAlign w:val="center"/>
            <w:hideMark/>
          </w:tcPr>
          <w:p w14:paraId="4C7FF40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104,28</w:t>
            </w:r>
          </w:p>
        </w:tc>
        <w:tc>
          <w:tcPr>
            <w:tcW w:w="993" w:type="dxa"/>
            <w:tcBorders>
              <w:top w:val="nil"/>
              <w:left w:val="nil"/>
              <w:bottom w:val="single" w:sz="4" w:space="0" w:color="000000"/>
              <w:right w:val="single" w:sz="4" w:space="0" w:color="000000"/>
            </w:tcBorders>
            <w:shd w:val="clear" w:color="auto" w:fill="auto"/>
            <w:vAlign w:val="center"/>
            <w:hideMark/>
          </w:tcPr>
          <w:p w14:paraId="63C218A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89,71</w:t>
            </w:r>
          </w:p>
        </w:tc>
      </w:tr>
      <w:tr w:rsidR="00E552B3" w:rsidRPr="00F120D7" w14:paraId="5AF4E17B" w14:textId="77777777" w:rsidTr="00F52211">
        <w:trPr>
          <w:trHeight w:val="415"/>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9660C30"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31</w:t>
            </w:r>
          </w:p>
        </w:tc>
        <w:tc>
          <w:tcPr>
            <w:tcW w:w="2265" w:type="dxa"/>
            <w:tcBorders>
              <w:top w:val="nil"/>
              <w:left w:val="nil"/>
              <w:bottom w:val="single" w:sz="4" w:space="0" w:color="000000"/>
              <w:right w:val="single" w:sz="4" w:space="0" w:color="000000"/>
            </w:tcBorders>
            <w:shd w:val="clear" w:color="auto" w:fill="auto"/>
            <w:vAlign w:val="center"/>
            <w:hideMark/>
          </w:tcPr>
          <w:p w14:paraId="1AEE7092"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Rashodi za zaposlene</w:t>
            </w:r>
          </w:p>
        </w:tc>
        <w:tc>
          <w:tcPr>
            <w:tcW w:w="1418" w:type="dxa"/>
            <w:tcBorders>
              <w:top w:val="nil"/>
              <w:left w:val="nil"/>
              <w:bottom w:val="single" w:sz="4" w:space="0" w:color="000000"/>
              <w:right w:val="single" w:sz="4" w:space="0" w:color="000000"/>
            </w:tcBorders>
            <w:shd w:val="clear" w:color="auto" w:fill="auto"/>
            <w:vAlign w:val="center"/>
            <w:hideMark/>
          </w:tcPr>
          <w:p w14:paraId="4861506E"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475.361,77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8575910"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555.850,00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A009122"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547.085,50</w:t>
            </w:r>
          </w:p>
        </w:tc>
        <w:tc>
          <w:tcPr>
            <w:tcW w:w="993" w:type="dxa"/>
            <w:tcBorders>
              <w:top w:val="nil"/>
              <w:left w:val="nil"/>
              <w:bottom w:val="single" w:sz="4" w:space="0" w:color="000000"/>
              <w:right w:val="single" w:sz="4" w:space="0" w:color="000000"/>
            </w:tcBorders>
            <w:shd w:val="clear" w:color="auto" w:fill="auto"/>
            <w:vAlign w:val="center"/>
            <w:hideMark/>
          </w:tcPr>
          <w:p w14:paraId="72CC826A"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115,09</w:t>
            </w:r>
          </w:p>
        </w:tc>
        <w:tc>
          <w:tcPr>
            <w:tcW w:w="993" w:type="dxa"/>
            <w:tcBorders>
              <w:top w:val="nil"/>
              <w:left w:val="nil"/>
              <w:bottom w:val="single" w:sz="4" w:space="0" w:color="000000"/>
              <w:right w:val="single" w:sz="4" w:space="0" w:color="000000"/>
            </w:tcBorders>
            <w:shd w:val="clear" w:color="auto" w:fill="auto"/>
            <w:vAlign w:val="center"/>
            <w:hideMark/>
          </w:tcPr>
          <w:p w14:paraId="2AB41E23"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98,42</w:t>
            </w:r>
          </w:p>
        </w:tc>
      </w:tr>
      <w:tr w:rsidR="00E552B3" w:rsidRPr="00F120D7" w14:paraId="65DEA527"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F7B116F"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311</w:t>
            </w:r>
          </w:p>
        </w:tc>
        <w:tc>
          <w:tcPr>
            <w:tcW w:w="2265" w:type="dxa"/>
            <w:tcBorders>
              <w:top w:val="nil"/>
              <w:left w:val="nil"/>
              <w:bottom w:val="single" w:sz="4" w:space="0" w:color="000000"/>
              <w:right w:val="single" w:sz="4" w:space="0" w:color="000000"/>
            </w:tcBorders>
            <w:shd w:val="clear" w:color="auto" w:fill="auto"/>
            <w:vAlign w:val="center"/>
            <w:hideMark/>
          </w:tcPr>
          <w:p w14:paraId="2F58C2C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Plaće (Bruto)</w:t>
            </w:r>
          </w:p>
        </w:tc>
        <w:tc>
          <w:tcPr>
            <w:tcW w:w="1418" w:type="dxa"/>
            <w:tcBorders>
              <w:top w:val="nil"/>
              <w:left w:val="nil"/>
              <w:bottom w:val="single" w:sz="4" w:space="0" w:color="000000"/>
              <w:right w:val="single" w:sz="4" w:space="0" w:color="000000"/>
            </w:tcBorders>
            <w:shd w:val="clear" w:color="auto" w:fill="auto"/>
            <w:vAlign w:val="center"/>
            <w:hideMark/>
          </w:tcPr>
          <w:p w14:paraId="7B3595C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387.838,16</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1BFB75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42E8E8A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451.660,57</w:t>
            </w:r>
          </w:p>
        </w:tc>
        <w:tc>
          <w:tcPr>
            <w:tcW w:w="993" w:type="dxa"/>
            <w:tcBorders>
              <w:top w:val="nil"/>
              <w:left w:val="nil"/>
              <w:bottom w:val="single" w:sz="4" w:space="0" w:color="000000"/>
              <w:right w:val="single" w:sz="4" w:space="0" w:color="000000"/>
            </w:tcBorders>
            <w:shd w:val="clear" w:color="auto" w:fill="auto"/>
            <w:vAlign w:val="center"/>
            <w:hideMark/>
          </w:tcPr>
          <w:p w14:paraId="7C32586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116,46</w:t>
            </w:r>
          </w:p>
        </w:tc>
        <w:tc>
          <w:tcPr>
            <w:tcW w:w="993" w:type="dxa"/>
            <w:tcBorders>
              <w:top w:val="nil"/>
              <w:left w:val="nil"/>
              <w:bottom w:val="single" w:sz="4" w:space="0" w:color="000000"/>
              <w:right w:val="single" w:sz="4" w:space="0" w:color="000000"/>
            </w:tcBorders>
            <w:shd w:val="clear" w:color="auto" w:fill="auto"/>
            <w:vAlign w:val="center"/>
            <w:hideMark/>
          </w:tcPr>
          <w:p w14:paraId="3275A24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7F418F9"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972A79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3111</w:t>
            </w:r>
          </w:p>
        </w:tc>
        <w:tc>
          <w:tcPr>
            <w:tcW w:w="2265" w:type="dxa"/>
            <w:tcBorders>
              <w:top w:val="nil"/>
              <w:left w:val="nil"/>
              <w:bottom w:val="single" w:sz="4" w:space="0" w:color="000000"/>
              <w:right w:val="single" w:sz="4" w:space="0" w:color="000000"/>
            </w:tcBorders>
            <w:shd w:val="clear" w:color="auto" w:fill="auto"/>
            <w:vAlign w:val="center"/>
            <w:hideMark/>
          </w:tcPr>
          <w:p w14:paraId="2E93AD83"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Plaće za redovan rad</w:t>
            </w:r>
          </w:p>
        </w:tc>
        <w:tc>
          <w:tcPr>
            <w:tcW w:w="1418" w:type="dxa"/>
            <w:tcBorders>
              <w:top w:val="nil"/>
              <w:left w:val="nil"/>
              <w:bottom w:val="single" w:sz="4" w:space="0" w:color="000000"/>
              <w:right w:val="single" w:sz="4" w:space="0" w:color="000000"/>
            </w:tcBorders>
            <w:shd w:val="clear" w:color="auto" w:fill="auto"/>
            <w:vAlign w:val="center"/>
            <w:hideMark/>
          </w:tcPr>
          <w:p w14:paraId="72743EC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387.838,16</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099170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C1482E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451.660,57</w:t>
            </w:r>
          </w:p>
        </w:tc>
        <w:tc>
          <w:tcPr>
            <w:tcW w:w="993" w:type="dxa"/>
            <w:tcBorders>
              <w:top w:val="nil"/>
              <w:left w:val="nil"/>
              <w:bottom w:val="single" w:sz="4" w:space="0" w:color="000000"/>
              <w:right w:val="single" w:sz="4" w:space="0" w:color="000000"/>
            </w:tcBorders>
            <w:shd w:val="clear" w:color="auto" w:fill="auto"/>
            <w:vAlign w:val="center"/>
            <w:hideMark/>
          </w:tcPr>
          <w:p w14:paraId="79EF271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116,46</w:t>
            </w:r>
          </w:p>
        </w:tc>
        <w:tc>
          <w:tcPr>
            <w:tcW w:w="993" w:type="dxa"/>
            <w:tcBorders>
              <w:top w:val="nil"/>
              <w:left w:val="nil"/>
              <w:bottom w:val="single" w:sz="4" w:space="0" w:color="000000"/>
              <w:right w:val="single" w:sz="4" w:space="0" w:color="000000"/>
            </w:tcBorders>
            <w:shd w:val="clear" w:color="auto" w:fill="auto"/>
            <w:vAlign w:val="center"/>
            <w:hideMark/>
          </w:tcPr>
          <w:p w14:paraId="66BBA69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3FF613EE"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A6EE1EB"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312</w:t>
            </w:r>
          </w:p>
        </w:tc>
        <w:tc>
          <w:tcPr>
            <w:tcW w:w="2265" w:type="dxa"/>
            <w:tcBorders>
              <w:top w:val="nil"/>
              <w:left w:val="nil"/>
              <w:bottom w:val="single" w:sz="4" w:space="0" w:color="000000"/>
              <w:right w:val="single" w:sz="4" w:space="0" w:color="000000"/>
            </w:tcBorders>
            <w:shd w:val="clear" w:color="auto" w:fill="auto"/>
            <w:vAlign w:val="center"/>
            <w:hideMark/>
          </w:tcPr>
          <w:p w14:paraId="0ADDEFEE"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rashodi za zaposlene</w:t>
            </w:r>
          </w:p>
        </w:tc>
        <w:tc>
          <w:tcPr>
            <w:tcW w:w="1418" w:type="dxa"/>
            <w:tcBorders>
              <w:top w:val="nil"/>
              <w:left w:val="nil"/>
              <w:bottom w:val="single" w:sz="4" w:space="0" w:color="000000"/>
              <w:right w:val="single" w:sz="4" w:space="0" w:color="000000"/>
            </w:tcBorders>
            <w:shd w:val="clear" w:color="auto" w:fill="auto"/>
            <w:vAlign w:val="center"/>
            <w:hideMark/>
          </w:tcPr>
          <w:p w14:paraId="7F4A452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36.086,82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F4C55F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E89D7C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36.775,80</w:t>
            </w:r>
          </w:p>
        </w:tc>
        <w:tc>
          <w:tcPr>
            <w:tcW w:w="993" w:type="dxa"/>
            <w:tcBorders>
              <w:top w:val="nil"/>
              <w:left w:val="nil"/>
              <w:bottom w:val="single" w:sz="4" w:space="0" w:color="000000"/>
              <w:right w:val="single" w:sz="4" w:space="0" w:color="000000"/>
            </w:tcBorders>
            <w:shd w:val="clear" w:color="auto" w:fill="auto"/>
            <w:vAlign w:val="center"/>
            <w:hideMark/>
          </w:tcPr>
          <w:p w14:paraId="5928470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101,91</w:t>
            </w:r>
          </w:p>
        </w:tc>
        <w:tc>
          <w:tcPr>
            <w:tcW w:w="993" w:type="dxa"/>
            <w:tcBorders>
              <w:top w:val="nil"/>
              <w:left w:val="nil"/>
              <w:bottom w:val="single" w:sz="4" w:space="0" w:color="000000"/>
              <w:right w:val="single" w:sz="4" w:space="0" w:color="000000"/>
            </w:tcBorders>
            <w:shd w:val="clear" w:color="auto" w:fill="auto"/>
            <w:vAlign w:val="center"/>
            <w:hideMark/>
          </w:tcPr>
          <w:p w14:paraId="7939F84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0BD50508"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5E677963"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3121</w:t>
            </w:r>
          </w:p>
        </w:tc>
        <w:tc>
          <w:tcPr>
            <w:tcW w:w="2265" w:type="dxa"/>
            <w:tcBorders>
              <w:top w:val="nil"/>
              <w:left w:val="nil"/>
              <w:bottom w:val="single" w:sz="4" w:space="0" w:color="000000"/>
              <w:right w:val="single" w:sz="4" w:space="0" w:color="000000"/>
            </w:tcBorders>
            <w:shd w:val="clear" w:color="auto" w:fill="auto"/>
            <w:vAlign w:val="center"/>
            <w:hideMark/>
          </w:tcPr>
          <w:p w14:paraId="42A8A25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rashodi za zaposlene</w:t>
            </w:r>
          </w:p>
        </w:tc>
        <w:tc>
          <w:tcPr>
            <w:tcW w:w="1418" w:type="dxa"/>
            <w:tcBorders>
              <w:top w:val="nil"/>
              <w:left w:val="nil"/>
              <w:bottom w:val="single" w:sz="4" w:space="0" w:color="000000"/>
              <w:right w:val="single" w:sz="4" w:space="0" w:color="000000"/>
            </w:tcBorders>
            <w:shd w:val="clear" w:color="auto" w:fill="auto"/>
            <w:vAlign w:val="center"/>
            <w:hideMark/>
          </w:tcPr>
          <w:p w14:paraId="5A6868C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36.086,82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288623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52D0CE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36.775,80</w:t>
            </w:r>
          </w:p>
        </w:tc>
        <w:tc>
          <w:tcPr>
            <w:tcW w:w="993" w:type="dxa"/>
            <w:tcBorders>
              <w:top w:val="nil"/>
              <w:left w:val="nil"/>
              <w:bottom w:val="single" w:sz="4" w:space="0" w:color="000000"/>
              <w:right w:val="single" w:sz="4" w:space="0" w:color="000000"/>
            </w:tcBorders>
            <w:shd w:val="clear" w:color="auto" w:fill="auto"/>
            <w:vAlign w:val="center"/>
            <w:hideMark/>
          </w:tcPr>
          <w:p w14:paraId="5C55F9C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101,91</w:t>
            </w:r>
          </w:p>
        </w:tc>
        <w:tc>
          <w:tcPr>
            <w:tcW w:w="993" w:type="dxa"/>
            <w:tcBorders>
              <w:top w:val="nil"/>
              <w:left w:val="nil"/>
              <w:bottom w:val="single" w:sz="4" w:space="0" w:color="000000"/>
              <w:right w:val="single" w:sz="4" w:space="0" w:color="000000"/>
            </w:tcBorders>
            <w:shd w:val="clear" w:color="auto" w:fill="auto"/>
            <w:vAlign w:val="center"/>
            <w:hideMark/>
          </w:tcPr>
          <w:p w14:paraId="695C0FB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C8B63FC"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62EB3F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313</w:t>
            </w:r>
          </w:p>
        </w:tc>
        <w:tc>
          <w:tcPr>
            <w:tcW w:w="2265" w:type="dxa"/>
            <w:tcBorders>
              <w:top w:val="nil"/>
              <w:left w:val="nil"/>
              <w:bottom w:val="single" w:sz="4" w:space="0" w:color="000000"/>
              <w:right w:val="single" w:sz="4" w:space="0" w:color="000000"/>
            </w:tcBorders>
            <w:shd w:val="clear" w:color="auto" w:fill="auto"/>
            <w:vAlign w:val="center"/>
            <w:hideMark/>
          </w:tcPr>
          <w:p w14:paraId="48B9C239"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Doprinosi na plaće</w:t>
            </w:r>
          </w:p>
        </w:tc>
        <w:tc>
          <w:tcPr>
            <w:tcW w:w="1418" w:type="dxa"/>
            <w:tcBorders>
              <w:top w:val="nil"/>
              <w:left w:val="nil"/>
              <w:bottom w:val="single" w:sz="4" w:space="0" w:color="000000"/>
              <w:right w:val="single" w:sz="4" w:space="0" w:color="000000"/>
            </w:tcBorders>
            <w:shd w:val="clear" w:color="auto" w:fill="auto"/>
            <w:vAlign w:val="center"/>
            <w:hideMark/>
          </w:tcPr>
          <w:p w14:paraId="195CDBD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51.436,79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A6AF73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499C0B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58.649,13</w:t>
            </w:r>
          </w:p>
        </w:tc>
        <w:tc>
          <w:tcPr>
            <w:tcW w:w="993" w:type="dxa"/>
            <w:tcBorders>
              <w:top w:val="nil"/>
              <w:left w:val="nil"/>
              <w:bottom w:val="single" w:sz="4" w:space="0" w:color="000000"/>
              <w:right w:val="single" w:sz="4" w:space="0" w:color="000000"/>
            </w:tcBorders>
            <w:shd w:val="clear" w:color="auto" w:fill="auto"/>
            <w:vAlign w:val="center"/>
            <w:hideMark/>
          </w:tcPr>
          <w:p w14:paraId="6983AD0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114,02</w:t>
            </w:r>
          </w:p>
        </w:tc>
        <w:tc>
          <w:tcPr>
            <w:tcW w:w="993" w:type="dxa"/>
            <w:tcBorders>
              <w:top w:val="nil"/>
              <w:left w:val="nil"/>
              <w:bottom w:val="single" w:sz="4" w:space="0" w:color="000000"/>
              <w:right w:val="single" w:sz="4" w:space="0" w:color="000000"/>
            </w:tcBorders>
            <w:shd w:val="clear" w:color="auto" w:fill="auto"/>
            <w:vAlign w:val="center"/>
            <w:hideMark/>
          </w:tcPr>
          <w:p w14:paraId="7B9209B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3DDCF33"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A877E81"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3132</w:t>
            </w:r>
          </w:p>
        </w:tc>
        <w:tc>
          <w:tcPr>
            <w:tcW w:w="2265" w:type="dxa"/>
            <w:tcBorders>
              <w:top w:val="nil"/>
              <w:left w:val="nil"/>
              <w:bottom w:val="single" w:sz="4" w:space="0" w:color="000000"/>
              <w:right w:val="single" w:sz="4" w:space="0" w:color="000000"/>
            </w:tcBorders>
            <w:shd w:val="clear" w:color="auto" w:fill="auto"/>
            <w:vAlign w:val="center"/>
            <w:hideMark/>
          </w:tcPr>
          <w:p w14:paraId="3B0D1167"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Doprinosi za obvezno zdravstveno osiguranje</w:t>
            </w:r>
          </w:p>
        </w:tc>
        <w:tc>
          <w:tcPr>
            <w:tcW w:w="1418" w:type="dxa"/>
            <w:tcBorders>
              <w:top w:val="nil"/>
              <w:left w:val="nil"/>
              <w:bottom w:val="single" w:sz="4" w:space="0" w:color="000000"/>
              <w:right w:val="single" w:sz="4" w:space="0" w:color="000000"/>
            </w:tcBorders>
            <w:shd w:val="clear" w:color="auto" w:fill="auto"/>
            <w:vAlign w:val="center"/>
            <w:hideMark/>
          </w:tcPr>
          <w:p w14:paraId="7F615DA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51.436,79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553BE1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8AF74B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58.649,13</w:t>
            </w:r>
          </w:p>
        </w:tc>
        <w:tc>
          <w:tcPr>
            <w:tcW w:w="993" w:type="dxa"/>
            <w:tcBorders>
              <w:top w:val="nil"/>
              <w:left w:val="nil"/>
              <w:bottom w:val="single" w:sz="4" w:space="0" w:color="000000"/>
              <w:right w:val="single" w:sz="4" w:space="0" w:color="000000"/>
            </w:tcBorders>
            <w:shd w:val="clear" w:color="auto" w:fill="auto"/>
            <w:vAlign w:val="center"/>
            <w:hideMark/>
          </w:tcPr>
          <w:p w14:paraId="4E1D181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114,02</w:t>
            </w:r>
          </w:p>
        </w:tc>
        <w:tc>
          <w:tcPr>
            <w:tcW w:w="993" w:type="dxa"/>
            <w:tcBorders>
              <w:top w:val="nil"/>
              <w:left w:val="nil"/>
              <w:bottom w:val="single" w:sz="4" w:space="0" w:color="000000"/>
              <w:right w:val="single" w:sz="4" w:space="0" w:color="000000"/>
            </w:tcBorders>
            <w:shd w:val="clear" w:color="auto" w:fill="auto"/>
            <w:vAlign w:val="center"/>
            <w:hideMark/>
          </w:tcPr>
          <w:p w14:paraId="4D334B5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1CEB0BF9"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F62B0C5"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32</w:t>
            </w:r>
          </w:p>
        </w:tc>
        <w:tc>
          <w:tcPr>
            <w:tcW w:w="2265" w:type="dxa"/>
            <w:tcBorders>
              <w:top w:val="nil"/>
              <w:left w:val="nil"/>
              <w:bottom w:val="single" w:sz="4" w:space="0" w:color="000000"/>
              <w:right w:val="single" w:sz="4" w:space="0" w:color="000000"/>
            </w:tcBorders>
            <w:shd w:val="clear" w:color="auto" w:fill="auto"/>
            <w:vAlign w:val="center"/>
            <w:hideMark/>
          </w:tcPr>
          <w:p w14:paraId="782435DA"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Materijalni rashodi</w:t>
            </w:r>
          </w:p>
        </w:tc>
        <w:tc>
          <w:tcPr>
            <w:tcW w:w="1418" w:type="dxa"/>
            <w:tcBorders>
              <w:top w:val="nil"/>
              <w:left w:val="nil"/>
              <w:bottom w:val="single" w:sz="4" w:space="0" w:color="000000"/>
              <w:right w:val="single" w:sz="4" w:space="0" w:color="000000"/>
            </w:tcBorders>
            <w:shd w:val="clear" w:color="auto" w:fill="auto"/>
            <w:vAlign w:val="center"/>
            <w:hideMark/>
          </w:tcPr>
          <w:p w14:paraId="2032E68E"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231.822,47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BC3A0E3"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266.210,00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B00135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190.374,17</w:t>
            </w:r>
          </w:p>
        </w:tc>
        <w:tc>
          <w:tcPr>
            <w:tcW w:w="993" w:type="dxa"/>
            <w:tcBorders>
              <w:top w:val="nil"/>
              <w:left w:val="nil"/>
              <w:bottom w:val="single" w:sz="4" w:space="0" w:color="000000"/>
              <w:right w:val="single" w:sz="4" w:space="0" w:color="000000"/>
            </w:tcBorders>
            <w:shd w:val="clear" w:color="auto" w:fill="auto"/>
            <w:vAlign w:val="center"/>
            <w:hideMark/>
          </w:tcPr>
          <w:p w14:paraId="4CF383A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82,12</w:t>
            </w:r>
          </w:p>
        </w:tc>
        <w:tc>
          <w:tcPr>
            <w:tcW w:w="993" w:type="dxa"/>
            <w:tcBorders>
              <w:top w:val="nil"/>
              <w:left w:val="nil"/>
              <w:bottom w:val="single" w:sz="4" w:space="0" w:color="000000"/>
              <w:right w:val="single" w:sz="4" w:space="0" w:color="000000"/>
            </w:tcBorders>
            <w:shd w:val="clear" w:color="auto" w:fill="auto"/>
            <w:vAlign w:val="center"/>
            <w:hideMark/>
          </w:tcPr>
          <w:p w14:paraId="350F0978"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71,51</w:t>
            </w:r>
          </w:p>
        </w:tc>
      </w:tr>
      <w:tr w:rsidR="00E552B3" w:rsidRPr="00F120D7" w14:paraId="3863541A"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0371EF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w:t>
            </w:r>
          </w:p>
        </w:tc>
        <w:tc>
          <w:tcPr>
            <w:tcW w:w="2265" w:type="dxa"/>
            <w:tcBorders>
              <w:top w:val="nil"/>
              <w:left w:val="nil"/>
              <w:bottom w:val="single" w:sz="4" w:space="0" w:color="000000"/>
              <w:right w:val="single" w:sz="4" w:space="0" w:color="000000"/>
            </w:tcBorders>
            <w:shd w:val="clear" w:color="auto" w:fill="auto"/>
            <w:vAlign w:val="center"/>
            <w:hideMark/>
          </w:tcPr>
          <w:p w14:paraId="5DAB6C2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troškova zaposlenima</w:t>
            </w:r>
          </w:p>
        </w:tc>
        <w:tc>
          <w:tcPr>
            <w:tcW w:w="1418" w:type="dxa"/>
            <w:tcBorders>
              <w:top w:val="nil"/>
              <w:left w:val="nil"/>
              <w:bottom w:val="single" w:sz="4" w:space="0" w:color="000000"/>
              <w:right w:val="single" w:sz="4" w:space="0" w:color="000000"/>
            </w:tcBorders>
            <w:shd w:val="clear" w:color="auto" w:fill="auto"/>
            <w:vAlign w:val="center"/>
            <w:hideMark/>
          </w:tcPr>
          <w:p w14:paraId="146000A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41.280,56</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42053C7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DEE67F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34.903,92</w:t>
            </w:r>
          </w:p>
        </w:tc>
        <w:tc>
          <w:tcPr>
            <w:tcW w:w="993" w:type="dxa"/>
            <w:tcBorders>
              <w:top w:val="nil"/>
              <w:left w:val="nil"/>
              <w:bottom w:val="single" w:sz="4" w:space="0" w:color="000000"/>
              <w:right w:val="single" w:sz="4" w:space="0" w:color="000000"/>
            </w:tcBorders>
            <w:shd w:val="clear" w:color="auto" w:fill="auto"/>
            <w:vAlign w:val="center"/>
            <w:hideMark/>
          </w:tcPr>
          <w:p w14:paraId="1E185A4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84,55</w:t>
            </w:r>
          </w:p>
        </w:tc>
        <w:tc>
          <w:tcPr>
            <w:tcW w:w="993" w:type="dxa"/>
            <w:tcBorders>
              <w:top w:val="nil"/>
              <w:left w:val="nil"/>
              <w:bottom w:val="single" w:sz="4" w:space="0" w:color="000000"/>
              <w:right w:val="single" w:sz="4" w:space="0" w:color="000000"/>
            </w:tcBorders>
            <w:shd w:val="clear" w:color="auto" w:fill="auto"/>
            <w:vAlign w:val="center"/>
            <w:hideMark/>
          </w:tcPr>
          <w:p w14:paraId="274C624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277B828"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559E2B28"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3211</w:t>
            </w:r>
          </w:p>
        </w:tc>
        <w:tc>
          <w:tcPr>
            <w:tcW w:w="2265" w:type="dxa"/>
            <w:tcBorders>
              <w:top w:val="nil"/>
              <w:left w:val="nil"/>
              <w:bottom w:val="single" w:sz="4" w:space="0" w:color="000000"/>
              <w:right w:val="single" w:sz="4" w:space="0" w:color="000000"/>
            </w:tcBorders>
            <w:shd w:val="clear" w:color="auto" w:fill="auto"/>
            <w:vAlign w:val="center"/>
            <w:hideMark/>
          </w:tcPr>
          <w:p w14:paraId="2FEA82D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Službena putovanja</w:t>
            </w:r>
          </w:p>
        </w:tc>
        <w:tc>
          <w:tcPr>
            <w:tcW w:w="1418" w:type="dxa"/>
            <w:tcBorders>
              <w:top w:val="nil"/>
              <w:left w:val="nil"/>
              <w:bottom w:val="single" w:sz="4" w:space="0" w:color="000000"/>
              <w:right w:val="single" w:sz="4" w:space="0" w:color="000000"/>
            </w:tcBorders>
            <w:shd w:val="clear" w:color="auto" w:fill="auto"/>
            <w:vAlign w:val="center"/>
            <w:hideMark/>
          </w:tcPr>
          <w:p w14:paraId="52AA156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21.560,49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203B2B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42ECB77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21.295,33</w:t>
            </w:r>
          </w:p>
        </w:tc>
        <w:tc>
          <w:tcPr>
            <w:tcW w:w="993" w:type="dxa"/>
            <w:tcBorders>
              <w:top w:val="nil"/>
              <w:left w:val="nil"/>
              <w:bottom w:val="single" w:sz="4" w:space="0" w:color="000000"/>
              <w:right w:val="single" w:sz="4" w:space="0" w:color="000000"/>
            </w:tcBorders>
            <w:shd w:val="clear" w:color="auto" w:fill="auto"/>
            <w:vAlign w:val="center"/>
            <w:hideMark/>
          </w:tcPr>
          <w:p w14:paraId="0E47B3B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98,77</w:t>
            </w:r>
          </w:p>
        </w:tc>
        <w:tc>
          <w:tcPr>
            <w:tcW w:w="993" w:type="dxa"/>
            <w:tcBorders>
              <w:top w:val="nil"/>
              <w:left w:val="nil"/>
              <w:bottom w:val="single" w:sz="4" w:space="0" w:color="000000"/>
              <w:right w:val="single" w:sz="4" w:space="0" w:color="000000"/>
            </w:tcBorders>
            <w:shd w:val="clear" w:color="auto" w:fill="auto"/>
            <w:vAlign w:val="center"/>
            <w:hideMark/>
          </w:tcPr>
          <w:p w14:paraId="6FC638A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05A883B8"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5E0A29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3212</w:t>
            </w:r>
          </w:p>
        </w:tc>
        <w:tc>
          <w:tcPr>
            <w:tcW w:w="2265" w:type="dxa"/>
            <w:tcBorders>
              <w:top w:val="nil"/>
              <w:left w:val="nil"/>
              <w:bottom w:val="single" w:sz="4" w:space="0" w:color="000000"/>
              <w:right w:val="single" w:sz="4" w:space="0" w:color="000000"/>
            </w:tcBorders>
            <w:shd w:val="clear" w:color="auto" w:fill="auto"/>
            <w:vAlign w:val="center"/>
            <w:hideMark/>
          </w:tcPr>
          <w:p w14:paraId="75CA15F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za prijevoz, za rad na terenu i odvojeni život</w:t>
            </w:r>
          </w:p>
        </w:tc>
        <w:tc>
          <w:tcPr>
            <w:tcW w:w="1418" w:type="dxa"/>
            <w:tcBorders>
              <w:top w:val="nil"/>
              <w:left w:val="nil"/>
              <w:bottom w:val="single" w:sz="4" w:space="0" w:color="000000"/>
              <w:right w:val="single" w:sz="4" w:space="0" w:color="000000"/>
            </w:tcBorders>
            <w:shd w:val="clear" w:color="auto" w:fill="auto"/>
            <w:vAlign w:val="center"/>
            <w:hideMark/>
          </w:tcPr>
          <w:p w14:paraId="64BA0E9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15.244,39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0CE403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382993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12.912,34</w:t>
            </w:r>
          </w:p>
        </w:tc>
        <w:tc>
          <w:tcPr>
            <w:tcW w:w="993" w:type="dxa"/>
            <w:tcBorders>
              <w:top w:val="nil"/>
              <w:left w:val="nil"/>
              <w:bottom w:val="single" w:sz="4" w:space="0" w:color="000000"/>
              <w:right w:val="single" w:sz="4" w:space="0" w:color="000000"/>
            </w:tcBorders>
            <w:shd w:val="clear" w:color="auto" w:fill="auto"/>
            <w:vAlign w:val="center"/>
            <w:hideMark/>
          </w:tcPr>
          <w:p w14:paraId="143D541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84,7</w:t>
            </w:r>
          </w:p>
        </w:tc>
        <w:tc>
          <w:tcPr>
            <w:tcW w:w="993" w:type="dxa"/>
            <w:tcBorders>
              <w:top w:val="nil"/>
              <w:left w:val="nil"/>
              <w:bottom w:val="single" w:sz="4" w:space="0" w:color="000000"/>
              <w:right w:val="single" w:sz="4" w:space="0" w:color="000000"/>
            </w:tcBorders>
            <w:shd w:val="clear" w:color="auto" w:fill="auto"/>
            <w:vAlign w:val="center"/>
            <w:hideMark/>
          </w:tcPr>
          <w:p w14:paraId="0FCEA54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3F188A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CD1F047"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3213</w:t>
            </w:r>
          </w:p>
        </w:tc>
        <w:tc>
          <w:tcPr>
            <w:tcW w:w="2265" w:type="dxa"/>
            <w:tcBorders>
              <w:top w:val="nil"/>
              <w:left w:val="nil"/>
              <w:bottom w:val="single" w:sz="4" w:space="0" w:color="000000"/>
              <w:right w:val="single" w:sz="4" w:space="0" w:color="000000"/>
            </w:tcBorders>
            <w:shd w:val="clear" w:color="auto" w:fill="auto"/>
            <w:vAlign w:val="center"/>
            <w:hideMark/>
          </w:tcPr>
          <w:p w14:paraId="0CFBA3BF"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Stručno usavršavanje zaposlenika</w:t>
            </w:r>
          </w:p>
        </w:tc>
        <w:tc>
          <w:tcPr>
            <w:tcW w:w="1418" w:type="dxa"/>
            <w:tcBorders>
              <w:top w:val="nil"/>
              <w:left w:val="nil"/>
              <w:bottom w:val="single" w:sz="4" w:space="0" w:color="000000"/>
              <w:right w:val="single" w:sz="4" w:space="0" w:color="000000"/>
            </w:tcBorders>
            <w:shd w:val="clear" w:color="auto" w:fill="auto"/>
            <w:vAlign w:val="center"/>
            <w:hideMark/>
          </w:tcPr>
          <w:p w14:paraId="2CC5829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4.475,68</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02FE18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7EAD50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696,25</w:t>
            </w:r>
          </w:p>
        </w:tc>
        <w:tc>
          <w:tcPr>
            <w:tcW w:w="993" w:type="dxa"/>
            <w:tcBorders>
              <w:top w:val="nil"/>
              <w:left w:val="nil"/>
              <w:bottom w:val="single" w:sz="4" w:space="0" w:color="000000"/>
              <w:right w:val="single" w:sz="4" w:space="0" w:color="000000"/>
            </w:tcBorders>
            <w:shd w:val="clear" w:color="auto" w:fill="auto"/>
            <w:vAlign w:val="center"/>
            <w:hideMark/>
          </w:tcPr>
          <w:p w14:paraId="46FA314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15,56</w:t>
            </w:r>
          </w:p>
        </w:tc>
        <w:tc>
          <w:tcPr>
            <w:tcW w:w="993" w:type="dxa"/>
            <w:tcBorders>
              <w:top w:val="nil"/>
              <w:left w:val="nil"/>
              <w:bottom w:val="single" w:sz="4" w:space="0" w:color="000000"/>
              <w:right w:val="single" w:sz="4" w:space="0" w:color="000000"/>
            </w:tcBorders>
            <w:shd w:val="clear" w:color="auto" w:fill="auto"/>
            <w:vAlign w:val="center"/>
            <w:hideMark/>
          </w:tcPr>
          <w:p w14:paraId="07402C5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061B013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4153FD9"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w:t>
            </w:r>
          </w:p>
        </w:tc>
        <w:tc>
          <w:tcPr>
            <w:tcW w:w="2265" w:type="dxa"/>
            <w:tcBorders>
              <w:top w:val="nil"/>
              <w:left w:val="nil"/>
              <w:bottom w:val="single" w:sz="4" w:space="0" w:color="000000"/>
              <w:right w:val="single" w:sz="4" w:space="0" w:color="000000"/>
            </w:tcBorders>
            <w:shd w:val="clear" w:color="auto" w:fill="auto"/>
            <w:vAlign w:val="center"/>
            <w:hideMark/>
          </w:tcPr>
          <w:p w14:paraId="5E3F29FE"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materijal i energiju</w:t>
            </w:r>
          </w:p>
        </w:tc>
        <w:tc>
          <w:tcPr>
            <w:tcW w:w="1418" w:type="dxa"/>
            <w:tcBorders>
              <w:top w:val="nil"/>
              <w:left w:val="nil"/>
              <w:bottom w:val="single" w:sz="4" w:space="0" w:color="000000"/>
              <w:right w:val="single" w:sz="4" w:space="0" w:color="000000"/>
            </w:tcBorders>
            <w:shd w:val="clear" w:color="auto" w:fill="auto"/>
            <w:vAlign w:val="center"/>
            <w:hideMark/>
          </w:tcPr>
          <w:p w14:paraId="383ADE0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20.456,71</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4564637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748E3E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15.200,52</w:t>
            </w:r>
          </w:p>
        </w:tc>
        <w:tc>
          <w:tcPr>
            <w:tcW w:w="993" w:type="dxa"/>
            <w:tcBorders>
              <w:top w:val="nil"/>
              <w:left w:val="nil"/>
              <w:bottom w:val="single" w:sz="4" w:space="0" w:color="000000"/>
              <w:right w:val="single" w:sz="4" w:space="0" w:color="000000"/>
            </w:tcBorders>
            <w:shd w:val="clear" w:color="auto" w:fill="auto"/>
            <w:vAlign w:val="center"/>
            <w:hideMark/>
          </w:tcPr>
          <w:p w14:paraId="025B478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74,31</w:t>
            </w:r>
          </w:p>
        </w:tc>
        <w:tc>
          <w:tcPr>
            <w:tcW w:w="993" w:type="dxa"/>
            <w:tcBorders>
              <w:top w:val="nil"/>
              <w:left w:val="nil"/>
              <w:bottom w:val="single" w:sz="4" w:space="0" w:color="000000"/>
              <w:right w:val="single" w:sz="4" w:space="0" w:color="000000"/>
            </w:tcBorders>
            <w:shd w:val="clear" w:color="auto" w:fill="auto"/>
            <w:vAlign w:val="center"/>
            <w:hideMark/>
          </w:tcPr>
          <w:p w14:paraId="02D37AC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38EBDFE2"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550B47D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3221</w:t>
            </w:r>
          </w:p>
        </w:tc>
        <w:tc>
          <w:tcPr>
            <w:tcW w:w="2265" w:type="dxa"/>
            <w:tcBorders>
              <w:top w:val="nil"/>
              <w:left w:val="nil"/>
              <w:bottom w:val="single" w:sz="4" w:space="0" w:color="000000"/>
              <w:right w:val="single" w:sz="4" w:space="0" w:color="000000"/>
            </w:tcBorders>
            <w:shd w:val="clear" w:color="auto" w:fill="auto"/>
            <w:vAlign w:val="center"/>
            <w:hideMark/>
          </w:tcPr>
          <w:p w14:paraId="2CCED3C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Uredski materijal i ostali materijalni rashodi</w:t>
            </w:r>
          </w:p>
        </w:tc>
        <w:tc>
          <w:tcPr>
            <w:tcW w:w="1418" w:type="dxa"/>
            <w:tcBorders>
              <w:top w:val="nil"/>
              <w:left w:val="nil"/>
              <w:bottom w:val="single" w:sz="4" w:space="0" w:color="000000"/>
              <w:right w:val="single" w:sz="4" w:space="0" w:color="000000"/>
            </w:tcBorders>
            <w:shd w:val="clear" w:color="auto" w:fill="auto"/>
            <w:vAlign w:val="center"/>
            <w:hideMark/>
          </w:tcPr>
          <w:p w14:paraId="159FB53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8.354,33</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AF7C7B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EB65F7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6.837,65</w:t>
            </w:r>
          </w:p>
        </w:tc>
        <w:tc>
          <w:tcPr>
            <w:tcW w:w="993" w:type="dxa"/>
            <w:tcBorders>
              <w:top w:val="nil"/>
              <w:left w:val="nil"/>
              <w:bottom w:val="single" w:sz="4" w:space="0" w:color="000000"/>
              <w:right w:val="single" w:sz="4" w:space="0" w:color="000000"/>
            </w:tcBorders>
            <w:shd w:val="clear" w:color="auto" w:fill="auto"/>
            <w:vAlign w:val="center"/>
            <w:hideMark/>
          </w:tcPr>
          <w:p w14:paraId="357884B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81,85</w:t>
            </w:r>
          </w:p>
        </w:tc>
        <w:tc>
          <w:tcPr>
            <w:tcW w:w="993" w:type="dxa"/>
            <w:tcBorders>
              <w:top w:val="nil"/>
              <w:left w:val="nil"/>
              <w:bottom w:val="single" w:sz="4" w:space="0" w:color="000000"/>
              <w:right w:val="single" w:sz="4" w:space="0" w:color="000000"/>
            </w:tcBorders>
            <w:shd w:val="clear" w:color="auto" w:fill="auto"/>
            <w:vAlign w:val="center"/>
            <w:hideMark/>
          </w:tcPr>
          <w:p w14:paraId="6B87198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A8F9886"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4BF8BAA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3223</w:t>
            </w:r>
          </w:p>
        </w:tc>
        <w:tc>
          <w:tcPr>
            <w:tcW w:w="2265" w:type="dxa"/>
            <w:tcBorders>
              <w:top w:val="nil"/>
              <w:left w:val="nil"/>
              <w:bottom w:val="single" w:sz="4" w:space="0" w:color="000000"/>
              <w:right w:val="single" w:sz="4" w:space="0" w:color="000000"/>
            </w:tcBorders>
            <w:shd w:val="clear" w:color="auto" w:fill="auto"/>
            <w:vAlign w:val="center"/>
            <w:hideMark/>
          </w:tcPr>
          <w:p w14:paraId="201D01BE"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Energija</w:t>
            </w:r>
          </w:p>
        </w:tc>
        <w:tc>
          <w:tcPr>
            <w:tcW w:w="1418" w:type="dxa"/>
            <w:tcBorders>
              <w:top w:val="nil"/>
              <w:left w:val="nil"/>
              <w:bottom w:val="single" w:sz="4" w:space="0" w:color="000000"/>
              <w:right w:val="single" w:sz="4" w:space="0" w:color="000000"/>
            </w:tcBorders>
            <w:shd w:val="clear" w:color="auto" w:fill="auto"/>
            <w:vAlign w:val="center"/>
            <w:hideMark/>
          </w:tcPr>
          <w:p w14:paraId="13D8998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7.391,87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786E97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DB886F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7.115,61</w:t>
            </w:r>
          </w:p>
        </w:tc>
        <w:tc>
          <w:tcPr>
            <w:tcW w:w="993" w:type="dxa"/>
            <w:tcBorders>
              <w:top w:val="nil"/>
              <w:left w:val="nil"/>
              <w:bottom w:val="single" w:sz="4" w:space="0" w:color="000000"/>
              <w:right w:val="single" w:sz="4" w:space="0" w:color="000000"/>
            </w:tcBorders>
            <w:shd w:val="clear" w:color="auto" w:fill="auto"/>
            <w:vAlign w:val="center"/>
            <w:hideMark/>
          </w:tcPr>
          <w:p w14:paraId="7B1EF69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96,26</w:t>
            </w:r>
          </w:p>
        </w:tc>
        <w:tc>
          <w:tcPr>
            <w:tcW w:w="993" w:type="dxa"/>
            <w:tcBorders>
              <w:top w:val="nil"/>
              <w:left w:val="nil"/>
              <w:bottom w:val="single" w:sz="4" w:space="0" w:color="000000"/>
              <w:right w:val="single" w:sz="4" w:space="0" w:color="000000"/>
            </w:tcBorders>
            <w:shd w:val="clear" w:color="auto" w:fill="auto"/>
            <w:vAlign w:val="center"/>
            <w:hideMark/>
          </w:tcPr>
          <w:p w14:paraId="6DE5F90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BD27F0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1DB26D1"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3224</w:t>
            </w:r>
          </w:p>
        </w:tc>
        <w:tc>
          <w:tcPr>
            <w:tcW w:w="2265" w:type="dxa"/>
            <w:tcBorders>
              <w:top w:val="nil"/>
              <w:left w:val="nil"/>
              <w:bottom w:val="single" w:sz="4" w:space="0" w:color="000000"/>
              <w:right w:val="single" w:sz="4" w:space="0" w:color="000000"/>
            </w:tcBorders>
            <w:shd w:val="clear" w:color="auto" w:fill="auto"/>
            <w:vAlign w:val="center"/>
            <w:hideMark/>
          </w:tcPr>
          <w:p w14:paraId="2F6D0D79"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 i dijelovi za tekuće i investicijsko održavanje</w:t>
            </w:r>
          </w:p>
        </w:tc>
        <w:tc>
          <w:tcPr>
            <w:tcW w:w="1418" w:type="dxa"/>
            <w:tcBorders>
              <w:top w:val="nil"/>
              <w:left w:val="nil"/>
              <w:bottom w:val="single" w:sz="4" w:space="0" w:color="000000"/>
              <w:right w:val="single" w:sz="4" w:space="0" w:color="000000"/>
            </w:tcBorders>
            <w:shd w:val="clear" w:color="auto" w:fill="auto"/>
            <w:vAlign w:val="center"/>
            <w:hideMark/>
          </w:tcPr>
          <w:p w14:paraId="05AAA3D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2.446,44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E5D250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661A1C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68,64</w:t>
            </w:r>
          </w:p>
        </w:tc>
        <w:tc>
          <w:tcPr>
            <w:tcW w:w="993" w:type="dxa"/>
            <w:tcBorders>
              <w:top w:val="nil"/>
              <w:left w:val="nil"/>
              <w:bottom w:val="single" w:sz="4" w:space="0" w:color="000000"/>
              <w:right w:val="single" w:sz="4" w:space="0" w:color="000000"/>
            </w:tcBorders>
            <w:shd w:val="clear" w:color="auto" w:fill="auto"/>
            <w:vAlign w:val="center"/>
            <w:hideMark/>
          </w:tcPr>
          <w:p w14:paraId="7A8755D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2,81</w:t>
            </w:r>
          </w:p>
        </w:tc>
        <w:tc>
          <w:tcPr>
            <w:tcW w:w="993" w:type="dxa"/>
            <w:tcBorders>
              <w:top w:val="nil"/>
              <w:left w:val="nil"/>
              <w:bottom w:val="single" w:sz="4" w:space="0" w:color="000000"/>
              <w:right w:val="single" w:sz="4" w:space="0" w:color="000000"/>
            </w:tcBorders>
            <w:shd w:val="clear" w:color="auto" w:fill="auto"/>
            <w:vAlign w:val="center"/>
            <w:hideMark/>
          </w:tcPr>
          <w:p w14:paraId="34F4BBB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535D99D7"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4560DD3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3225</w:t>
            </w:r>
          </w:p>
        </w:tc>
        <w:tc>
          <w:tcPr>
            <w:tcW w:w="2265" w:type="dxa"/>
            <w:tcBorders>
              <w:top w:val="nil"/>
              <w:left w:val="nil"/>
              <w:bottom w:val="single" w:sz="4" w:space="0" w:color="000000"/>
              <w:right w:val="single" w:sz="4" w:space="0" w:color="000000"/>
            </w:tcBorders>
            <w:shd w:val="clear" w:color="auto" w:fill="auto"/>
            <w:vAlign w:val="center"/>
            <w:hideMark/>
          </w:tcPr>
          <w:p w14:paraId="3012F8AC"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Sitni inventar i autogume</w:t>
            </w:r>
          </w:p>
        </w:tc>
        <w:tc>
          <w:tcPr>
            <w:tcW w:w="1418" w:type="dxa"/>
            <w:tcBorders>
              <w:top w:val="nil"/>
              <w:left w:val="nil"/>
              <w:bottom w:val="single" w:sz="4" w:space="0" w:color="000000"/>
              <w:right w:val="single" w:sz="4" w:space="0" w:color="000000"/>
            </w:tcBorders>
            <w:shd w:val="clear" w:color="auto" w:fill="auto"/>
            <w:vAlign w:val="center"/>
            <w:hideMark/>
          </w:tcPr>
          <w:p w14:paraId="62DA9DB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2.264,07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7E1A7B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6ECB5D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1.178,62</w:t>
            </w:r>
          </w:p>
        </w:tc>
        <w:tc>
          <w:tcPr>
            <w:tcW w:w="993" w:type="dxa"/>
            <w:tcBorders>
              <w:top w:val="nil"/>
              <w:left w:val="nil"/>
              <w:bottom w:val="single" w:sz="4" w:space="0" w:color="000000"/>
              <w:right w:val="single" w:sz="4" w:space="0" w:color="000000"/>
            </w:tcBorders>
            <w:shd w:val="clear" w:color="auto" w:fill="auto"/>
            <w:vAlign w:val="center"/>
            <w:hideMark/>
          </w:tcPr>
          <w:p w14:paraId="6209756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52,06</w:t>
            </w:r>
          </w:p>
        </w:tc>
        <w:tc>
          <w:tcPr>
            <w:tcW w:w="993" w:type="dxa"/>
            <w:tcBorders>
              <w:top w:val="nil"/>
              <w:left w:val="nil"/>
              <w:bottom w:val="single" w:sz="4" w:space="0" w:color="000000"/>
              <w:right w:val="single" w:sz="4" w:space="0" w:color="000000"/>
            </w:tcBorders>
            <w:shd w:val="clear" w:color="auto" w:fill="auto"/>
            <w:vAlign w:val="center"/>
            <w:hideMark/>
          </w:tcPr>
          <w:p w14:paraId="1FE9473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B074B90"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48E3A1ED"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w:t>
            </w:r>
          </w:p>
        </w:tc>
        <w:tc>
          <w:tcPr>
            <w:tcW w:w="2265" w:type="dxa"/>
            <w:tcBorders>
              <w:top w:val="nil"/>
              <w:left w:val="nil"/>
              <w:bottom w:val="single" w:sz="4" w:space="0" w:color="000000"/>
              <w:right w:val="single" w:sz="4" w:space="0" w:color="000000"/>
            </w:tcBorders>
            <w:shd w:val="clear" w:color="auto" w:fill="auto"/>
            <w:vAlign w:val="center"/>
            <w:hideMark/>
          </w:tcPr>
          <w:p w14:paraId="5FC7CC4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usluge</w:t>
            </w:r>
          </w:p>
        </w:tc>
        <w:tc>
          <w:tcPr>
            <w:tcW w:w="1418" w:type="dxa"/>
            <w:tcBorders>
              <w:top w:val="nil"/>
              <w:left w:val="nil"/>
              <w:bottom w:val="single" w:sz="4" w:space="0" w:color="000000"/>
              <w:right w:val="single" w:sz="4" w:space="0" w:color="000000"/>
            </w:tcBorders>
            <w:shd w:val="clear" w:color="auto" w:fill="auto"/>
            <w:vAlign w:val="center"/>
            <w:hideMark/>
          </w:tcPr>
          <w:p w14:paraId="0EF3943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143.281,52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18990B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5829A8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120.164,88</w:t>
            </w:r>
          </w:p>
        </w:tc>
        <w:tc>
          <w:tcPr>
            <w:tcW w:w="993" w:type="dxa"/>
            <w:tcBorders>
              <w:top w:val="nil"/>
              <w:left w:val="nil"/>
              <w:bottom w:val="single" w:sz="4" w:space="0" w:color="000000"/>
              <w:right w:val="single" w:sz="4" w:space="0" w:color="000000"/>
            </w:tcBorders>
            <w:shd w:val="clear" w:color="auto" w:fill="auto"/>
            <w:vAlign w:val="center"/>
            <w:hideMark/>
          </w:tcPr>
          <w:p w14:paraId="7E6FB84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83,87</w:t>
            </w:r>
          </w:p>
        </w:tc>
        <w:tc>
          <w:tcPr>
            <w:tcW w:w="993" w:type="dxa"/>
            <w:tcBorders>
              <w:top w:val="nil"/>
              <w:left w:val="nil"/>
              <w:bottom w:val="single" w:sz="4" w:space="0" w:color="000000"/>
              <w:right w:val="single" w:sz="4" w:space="0" w:color="000000"/>
            </w:tcBorders>
            <w:shd w:val="clear" w:color="auto" w:fill="auto"/>
            <w:vAlign w:val="center"/>
            <w:hideMark/>
          </w:tcPr>
          <w:p w14:paraId="1EFEAB8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68239CF4"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51EA8DE8"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3231</w:t>
            </w:r>
          </w:p>
        </w:tc>
        <w:tc>
          <w:tcPr>
            <w:tcW w:w="2265" w:type="dxa"/>
            <w:tcBorders>
              <w:top w:val="nil"/>
              <w:left w:val="nil"/>
              <w:bottom w:val="single" w:sz="4" w:space="0" w:color="000000"/>
              <w:right w:val="single" w:sz="4" w:space="0" w:color="000000"/>
            </w:tcBorders>
            <w:shd w:val="clear" w:color="auto" w:fill="auto"/>
            <w:vAlign w:val="center"/>
            <w:hideMark/>
          </w:tcPr>
          <w:p w14:paraId="2E52D8C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telefona, interneta, pošte i prijevoza</w:t>
            </w:r>
          </w:p>
        </w:tc>
        <w:tc>
          <w:tcPr>
            <w:tcW w:w="1418" w:type="dxa"/>
            <w:tcBorders>
              <w:top w:val="nil"/>
              <w:left w:val="nil"/>
              <w:bottom w:val="single" w:sz="4" w:space="0" w:color="000000"/>
              <w:right w:val="single" w:sz="4" w:space="0" w:color="000000"/>
            </w:tcBorders>
            <w:shd w:val="clear" w:color="auto" w:fill="auto"/>
            <w:vAlign w:val="center"/>
            <w:hideMark/>
          </w:tcPr>
          <w:p w14:paraId="3B52CF1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6.104,40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2DF70C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0F78BA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6.168,95</w:t>
            </w:r>
          </w:p>
        </w:tc>
        <w:tc>
          <w:tcPr>
            <w:tcW w:w="993" w:type="dxa"/>
            <w:tcBorders>
              <w:top w:val="nil"/>
              <w:left w:val="nil"/>
              <w:bottom w:val="single" w:sz="4" w:space="0" w:color="000000"/>
              <w:right w:val="single" w:sz="4" w:space="0" w:color="000000"/>
            </w:tcBorders>
            <w:shd w:val="clear" w:color="auto" w:fill="auto"/>
            <w:vAlign w:val="center"/>
            <w:hideMark/>
          </w:tcPr>
          <w:p w14:paraId="33B5EA4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101,06</w:t>
            </w:r>
          </w:p>
        </w:tc>
        <w:tc>
          <w:tcPr>
            <w:tcW w:w="993" w:type="dxa"/>
            <w:tcBorders>
              <w:top w:val="nil"/>
              <w:left w:val="nil"/>
              <w:bottom w:val="single" w:sz="4" w:space="0" w:color="000000"/>
              <w:right w:val="single" w:sz="4" w:space="0" w:color="000000"/>
            </w:tcBorders>
            <w:shd w:val="clear" w:color="auto" w:fill="auto"/>
            <w:vAlign w:val="center"/>
            <w:hideMark/>
          </w:tcPr>
          <w:p w14:paraId="64E9606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779364F5"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9491CD9"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3232</w:t>
            </w:r>
          </w:p>
        </w:tc>
        <w:tc>
          <w:tcPr>
            <w:tcW w:w="2265" w:type="dxa"/>
            <w:tcBorders>
              <w:top w:val="nil"/>
              <w:left w:val="nil"/>
              <w:bottom w:val="single" w:sz="4" w:space="0" w:color="000000"/>
              <w:right w:val="single" w:sz="4" w:space="0" w:color="000000"/>
            </w:tcBorders>
            <w:shd w:val="clear" w:color="auto" w:fill="auto"/>
            <w:vAlign w:val="center"/>
            <w:hideMark/>
          </w:tcPr>
          <w:p w14:paraId="44E4935D"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tekućeg i investicijskog održavanja</w:t>
            </w:r>
          </w:p>
        </w:tc>
        <w:tc>
          <w:tcPr>
            <w:tcW w:w="1418" w:type="dxa"/>
            <w:tcBorders>
              <w:top w:val="nil"/>
              <w:left w:val="nil"/>
              <w:bottom w:val="single" w:sz="4" w:space="0" w:color="000000"/>
              <w:right w:val="single" w:sz="4" w:space="0" w:color="000000"/>
            </w:tcBorders>
            <w:shd w:val="clear" w:color="auto" w:fill="auto"/>
            <w:vAlign w:val="center"/>
            <w:hideMark/>
          </w:tcPr>
          <w:p w14:paraId="0FF62B2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4.491,69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1E2653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552A87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7.457,38</w:t>
            </w:r>
          </w:p>
        </w:tc>
        <w:tc>
          <w:tcPr>
            <w:tcW w:w="993" w:type="dxa"/>
            <w:tcBorders>
              <w:top w:val="nil"/>
              <w:left w:val="nil"/>
              <w:bottom w:val="single" w:sz="4" w:space="0" w:color="000000"/>
              <w:right w:val="single" w:sz="4" w:space="0" w:color="000000"/>
            </w:tcBorders>
            <w:shd w:val="clear" w:color="auto" w:fill="auto"/>
            <w:vAlign w:val="center"/>
            <w:hideMark/>
          </w:tcPr>
          <w:p w14:paraId="1F164FE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166,03</w:t>
            </w:r>
          </w:p>
        </w:tc>
        <w:tc>
          <w:tcPr>
            <w:tcW w:w="993" w:type="dxa"/>
            <w:tcBorders>
              <w:top w:val="nil"/>
              <w:left w:val="nil"/>
              <w:bottom w:val="single" w:sz="4" w:space="0" w:color="000000"/>
              <w:right w:val="single" w:sz="4" w:space="0" w:color="000000"/>
            </w:tcBorders>
            <w:shd w:val="clear" w:color="auto" w:fill="auto"/>
            <w:vAlign w:val="center"/>
            <w:hideMark/>
          </w:tcPr>
          <w:p w14:paraId="3604F76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7394FEA7"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C94FC98"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3233</w:t>
            </w:r>
          </w:p>
        </w:tc>
        <w:tc>
          <w:tcPr>
            <w:tcW w:w="2265" w:type="dxa"/>
            <w:tcBorders>
              <w:top w:val="nil"/>
              <w:left w:val="nil"/>
              <w:bottom w:val="single" w:sz="4" w:space="0" w:color="000000"/>
              <w:right w:val="single" w:sz="4" w:space="0" w:color="000000"/>
            </w:tcBorders>
            <w:shd w:val="clear" w:color="auto" w:fill="auto"/>
            <w:vAlign w:val="center"/>
            <w:hideMark/>
          </w:tcPr>
          <w:p w14:paraId="2AAB3B2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promidžbe i informiranja</w:t>
            </w:r>
          </w:p>
        </w:tc>
        <w:tc>
          <w:tcPr>
            <w:tcW w:w="1418" w:type="dxa"/>
            <w:tcBorders>
              <w:top w:val="nil"/>
              <w:left w:val="nil"/>
              <w:bottom w:val="single" w:sz="4" w:space="0" w:color="000000"/>
              <w:right w:val="single" w:sz="4" w:space="0" w:color="000000"/>
            </w:tcBorders>
            <w:shd w:val="clear" w:color="auto" w:fill="auto"/>
            <w:vAlign w:val="center"/>
            <w:hideMark/>
          </w:tcPr>
          <w:p w14:paraId="0608D1E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31.465,10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B68A3F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86724E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15.163,96</w:t>
            </w:r>
          </w:p>
        </w:tc>
        <w:tc>
          <w:tcPr>
            <w:tcW w:w="993" w:type="dxa"/>
            <w:tcBorders>
              <w:top w:val="nil"/>
              <w:left w:val="nil"/>
              <w:bottom w:val="single" w:sz="4" w:space="0" w:color="000000"/>
              <w:right w:val="single" w:sz="4" w:space="0" w:color="000000"/>
            </w:tcBorders>
            <w:shd w:val="clear" w:color="auto" w:fill="auto"/>
            <w:vAlign w:val="center"/>
            <w:hideMark/>
          </w:tcPr>
          <w:p w14:paraId="47FF9A8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48,19</w:t>
            </w:r>
          </w:p>
        </w:tc>
        <w:tc>
          <w:tcPr>
            <w:tcW w:w="993" w:type="dxa"/>
            <w:tcBorders>
              <w:top w:val="nil"/>
              <w:left w:val="nil"/>
              <w:bottom w:val="single" w:sz="4" w:space="0" w:color="000000"/>
              <w:right w:val="single" w:sz="4" w:space="0" w:color="000000"/>
            </w:tcBorders>
            <w:shd w:val="clear" w:color="auto" w:fill="auto"/>
            <w:vAlign w:val="center"/>
            <w:hideMark/>
          </w:tcPr>
          <w:p w14:paraId="33D7A9A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4E501C5"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5FA3E5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3234</w:t>
            </w:r>
          </w:p>
        </w:tc>
        <w:tc>
          <w:tcPr>
            <w:tcW w:w="2265" w:type="dxa"/>
            <w:tcBorders>
              <w:top w:val="nil"/>
              <w:left w:val="nil"/>
              <w:bottom w:val="single" w:sz="4" w:space="0" w:color="000000"/>
              <w:right w:val="single" w:sz="4" w:space="0" w:color="000000"/>
            </w:tcBorders>
            <w:shd w:val="clear" w:color="auto" w:fill="auto"/>
            <w:vAlign w:val="center"/>
            <w:hideMark/>
          </w:tcPr>
          <w:p w14:paraId="5C3631D9"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Komunalne usluge</w:t>
            </w:r>
          </w:p>
        </w:tc>
        <w:tc>
          <w:tcPr>
            <w:tcW w:w="1418" w:type="dxa"/>
            <w:tcBorders>
              <w:top w:val="nil"/>
              <w:left w:val="nil"/>
              <w:bottom w:val="single" w:sz="4" w:space="0" w:color="000000"/>
              <w:right w:val="single" w:sz="4" w:space="0" w:color="000000"/>
            </w:tcBorders>
            <w:shd w:val="clear" w:color="auto" w:fill="auto"/>
            <w:vAlign w:val="center"/>
            <w:hideMark/>
          </w:tcPr>
          <w:p w14:paraId="26232C0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3.653,28</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E5D968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763E45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3.665,38</w:t>
            </w:r>
          </w:p>
        </w:tc>
        <w:tc>
          <w:tcPr>
            <w:tcW w:w="993" w:type="dxa"/>
            <w:tcBorders>
              <w:top w:val="nil"/>
              <w:left w:val="nil"/>
              <w:bottom w:val="single" w:sz="4" w:space="0" w:color="000000"/>
              <w:right w:val="single" w:sz="4" w:space="0" w:color="000000"/>
            </w:tcBorders>
            <w:shd w:val="clear" w:color="auto" w:fill="auto"/>
            <w:vAlign w:val="center"/>
            <w:hideMark/>
          </w:tcPr>
          <w:p w14:paraId="2E3D06F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100,33</w:t>
            </w:r>
          </w:p>
        </w:tc>
        <w:tc>
          <w:tcPr>
            <w:tcW w:w="993" w:type="dxa"/>
            <w:tcBorders>
              <w:top w:val="nil"/>
              <w:left w:val="nil"/>
              <w:bottom w:val="single" w:sz="4" w:space="0" w:color="000000"/>
              <w:right w:val="single" w:sz="4" w:space="0" w:color="000000"/>
            </w:tcBorders>
            <w:shd w:val="clear" w:color="auto" w:fill="auto"/>
            <w:vAlign w:val="center"/>
            <w:hideMark/>
          </w:tcPr>
          <w:p w14:paraId="76415EF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9A25175"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2081CCE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3235</w:t>
            </w:r>
          </w:p>
        </w:tc>
        <w:tc>
          <w:tcPr>
            <w:tcW w:w="2265" w:type="dxa"/>
            <w:tcBorders>
              <w:top w:val="nil"/>
              <w:left w:val="nil"/>
              <w:bottom w:val="single" w:sz="4" w:space="0" w:color="000000"/>
              <w:right w:val="single" w:sz="4" w:space="0" w:color="000000"/>
            </w:tcBorders>
            <w:shd w:val="clear" w:color="auto" w:fill="auto"/>
            <w:vAlign w:val="center"/>
            <w:hideMark/>
          </w:tcPr>
          <w:p w14:paraId="2E9E1701"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Zakupnine i najamnine</w:t>
            </w:r>
          </w:p>
        </w:tc>
        <w:tc>
          <w:tcPr>
            <w:tcW w:w="1418" w:type="dxa"/>
            <w:tcBorders>
              <w:top w:val="nil"/>
              <w:left w:val="nil"/>
              <w:bottom w:val="single" w:sz="4" w:space="0" w:color="000000"/>
              <w:right w:val="single" w:sz="4" w:space="0" w:color="000000"/>
            </w:tcBorders>
            <w:shd w:val="clear" w:color="auto" w:fill="auto"/>
            <w:vAlign w:val="center"/>
            <w:hideMark/>
          </w:tcPr>
          <w:p w14:paraId="01E5427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5.333,45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334163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0460CC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5.001,11</w:t>
            </w:r>
          </w:p>
        </w:tc>
        <w:tc>
          <w:tcPr>
            <w:tcW w:w="993" w:type="dxa"/>
            <w:tcBorders>
              <w:top w:val="nil"/>
              <w:left w:val="nil"/>
              <w:bottom w:val="single" w:sz="4" w:space="0" w:color="000000"/>
              <w:right w:val="single" w:sz="4" w:space="0" w:color="000000"/>
            </w:tcBorders>
            <w:shd w:val="clear" w:color="auto" w:fill="auto"/>
            <w:vAlign w:val="center"/>
            <w:hideMark/>
          </w:tcPr>
          <w:p w14:paraId="6A6557B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93,77</w:t>
            </w:r>
          </w:p>
        </w:tc>
        <w:tc>
          <w:tcPr>
            <w:tcW w:w="993" w:type="dxa"/>
            <w:tcBorders>
              <w:top w:val="nil"/>
              <w:left w:val="nil"/>
              <w:bottom w:val="single" w:sz="4" w:space="0" w:color="000000"/>
              <w:right w:val="single" w:sz="4" w:space="0" w:color="000000"/>
            </w:tcBorders>
            <w:shd w:val="clear" w:color="auto" w:fill="auto"/>
            <w:vAlign w:val="center"/>
            <w:hideMark/>
          </w:tcPr>
          <w:p w14:paraId="4CE288A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7FF234E"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531BAB9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3236</w:t>
            </w:r>
          </w:p>
        </w:tc>
        <w:tc>
          <w:tcPr>
            <w:tcW w:w="2265" w:type="dxa"/>
            <w:tcBorders>
              <w:top w:val="nil"/>
              <w:left w:val="nil"/>
              <w:bottom w:val="single" w:sz="4" w:space="0" w:color="000000"/>
              <w:right w:val="single" w:sz="4" w:space="0" w:color="000000"/>
            </w:tcBorders>
            <w:shd w:val="clear" w:color="auto" w:fill="auto"/>
            <w:vAlign w:val="center"/>
            <w:hideMark/>
          </w:tcPr>
          <w:p w14:paraId="6793125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Zdravstvene i veterinarske usluge</w:t>
            </w:r>
          </w:p>
        </w:tc>
        <w:tc>
          <w:tcPr>
            <w:tcW w:w="1418" w:type="dxa"/>
            <w:tcBorders>
              <w:top w:val="nil"/>
              <w:left w:val="nil"/>
              <w:bottom w:val="single" w:sz="4" w:space="0" w:color="000000"/>
              <w:right w:val="single" w:sz="4" w:space="0" w:color="000000"/>
            </w:tcBorders>
            <w:shd w:val="clear" w:color="auto" w:fill="auto"/>
            <w:vAlign w:val="center"/>
            <w:hideMark/>
          </w:tcPr>
          <w:p w14:paraId="1033032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4.695,68</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00B979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7C3B28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6.452,20</w:t>
            </w:r>
          </w:p>
        </w:tc>
        <w:tc>
          <w:tcPr>
            <w:tcW w:w="993" w:type="dxa"/>
            <w:tcBorders>
              <w:top w:val="nil"/>
              <w:left w:val="nil"/>
              <w:bottom w:val="single" w:sz="4" w:space="0" w:color="000000"/>
              <w:right w:val="single" w:sz="4" w:space="0" w:color="000000"/>
            </w:tcBorders>
            <w:shd w:val="clear" w:color="auto" w:fill="auto"/>
            <w:vAlign w:val="center"/>
            <w:hideMark/>
          </w:tcPr>
          <w:p w14:paraId="19A4DF1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137,41</w:t>
            </w:r>
          </w:p>
        </w:tc>
        <w:tc>
          <w:tcPr>
            <w:tcW w:w="993" w:type="dxa"/>
            <w:tcBorders>
              <w:top w:val="nil"/>
              <w:left w:val="nil"/>
              <w:bottom w:val="single" w:sz="4" w:space="0" w:color="000000"/>
              <w:right w:val="single" w:sz="4" w:space="0" w:color="000000"/>
            </w:tcBorders>
            <w:shd w:val="clear" w:color="auto" w:fill="auto"/>
            <w:vAlign w:val="center"/>
            <w:hideMark/>
          </w:tcPr>
          <w:p w14:paraId="650FBE2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7858B9D2"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1FA3D3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3237</w:t>
            </w:r>
          </w:p>
        </w:tc>
        <w:tc>
          <w:tcPr>
            <w:tcW w:w="2265" w:type="dxa"/>
            <w:tcBorders>
              <w:top w:val="nil"/>
              <w:left w:val="nil"/>
              <w:bottom w:val="single" w:sz="4" w:space="0" w:color="000000"/>
              <w:right w:val="single" w:sz="4" w:space="0" w:color="000000"/>
            </w:tcBorders>
            <w:shd w:val="clear" w:color="auto" w:fill="auto"/>
            <w:vAlign w:val="center"/>
            <w:hideMark/>
          </w:tcPr>
          <w:p w14:paraId="780AD3DF"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Intelektualne i osobne usluge</w:t>
            </w:r>
          </w:p>
        </w:tc>
        <w:tc>
          <w:tcPr>
            <w:tcW w:w="1418" w:type="dxa"/>
            <w:tcBorders>
              <w:top w:val="nil"/>
              <w:left w:val="nil"/>
              <w:bottom w:val="single" w:sz="4" w:space="0" w:color="000000"/>
              <w:right w:val="single" w:sz="4" w:space="0" w:color="000000"/>
            </w:tcBorders>
            <w:shd w:val="clear" w:color="auto" w:fill="auto"/>
            <w:vAlign w:val="center"/>
            <w:hideMark/>
          </w:tcPr>
          <w:p w14:paraId="526F060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73.210,00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84625D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625610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62.548,06</w:t>
            </w:r>
          </w:p>
        </w:tc>
        <w:tc>
          <w:tcPr>
            <w:tcW w:w="993" w:type="dxa"/>
            <w:tcBorders>
              <w:top w:val="nil"/>
              <w:left w:val="nil"/>
              <w:bottom w:val="single" w:sz="4" w:space="0" w:color="000000"/>
              <w:right w:val="single" w:sz="4" w:space="0" w:color="000000"/>
            </w:tcBorders>
            <w:shd w:val="clear" w:color="auto" w:fill="auto"/>
            <w:vAlign w:val="center"/>
            <w:hideMark/>
          </w:tcPr>
          <w:p w14:paraId="6308E3F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85,44</w:t>
            </w:r>
          </w:p>
        </w:tc>
        <w:tc>
          <w:tcPr>
            <w:tcW w:w="993" w:type="dxa"/>
            <w:tcBorders>
              <w:top w:val="nil"/>
              <w:left w:val="nil"/>
              <w:bottom w:val="single" w:sz="4" w:space="0" w:color="000000"/>
              <w:right w:val="single" w:sz="4" w:space="0" w:color="000000"/>
            </w:tcBorders>
            <w:shd w:val="clear" w:color="auto" w:fill="auto"/>
            <w:vAlign w:val="center"/>
            <w:hideMark/>
          </w:tcPr>
          <w:p w14:paraId="671DABE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0CCB2109"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EDDA59F"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3238</w:t>
            </w:r>
          </w:p>
        </w:tc>
        <w:tc>
          <w:tcPr>
            <w:tcW w:w="2265" w:type="dxa"/>
            <w:tcBorders>
              <w:top w:val="nil"/>
              <w:left w:val="nil"/>
              <w:bottom w:val="single" w:sz="4" w:space="0" w:color="000000"/>
              <w:right w:val="single" w:sz="4" w:space="0" w:color="000000"/>
            </w:tcBorders>
            <w:shd w:val="clear" w:color="auto" w:fill="auto"/>
            <w:vAlign w:val="center"/>
            <w:hideMark/>
          </w:tcPr>
          <w:p w14:paraId="1827BA2D"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Računalne usluge</w:t>
            </w:r>
          </w:p>
        </w:tc>
        <w:tc>
          <w:tcPr>
            <w:tcW w:w="1418" w:type="dxa"/>
            <w:tcBorders>
              <w:top w:val="nil"/>
              <w:left w:val="nil"/>
              <w:bottom w:val="single" w:sz="4" w:space="0" w:color="000000"/>
              <w:right w:val="single" w:sz="4" w:space="0" w:color="000000"/>
            </w:tcBorders>
            <w:shd w:val="clear" w:color="auto" w:fill="auto"/>
            <w:vAlign w:val="center"/>
            <w:hideMark/>
          </w:tcPr>
          <w:p w14:paraId="471E1C1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3.583,56</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928DD6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FC3591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3.600,00</w:t>
            </w:r>
          </w:p>
        </w:tc>
        <w:tc>
          <w:tcPr>
            <w:tcW w:w="993" w:type="dxa"/>
            <w:tcBorders>
              <w:top w:val="nil"/>
              <w:left w:val="nil"/>
              <w:bottom w:val="single" w:sz="4" w:space="0" w:color="000000"/>
              <w:right w:val="single" w:sz="4" w:space="0" w:color="000000"/>
            </w:tcBorders>
            <w:shd w:val="clear" w:color="auto" w:fill="auto"/>
            <w:vAlign w:val="center"/>
            <w:hideMark/>
          </w:tcPr>
          <w:p w14:paraId="643EA86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100,46</w:t>
            </w:r>
          </w:p>
        </w:tc>
        <w:tc>
          <w:tcPr>
            <w:tcW w:w="993" w:type="dxa"/>
            <w:tcBorders>
              <w:top w:val="nil"/>
              <w:left w:val="nil"/>
              <w:bottom w:val="single" w:sz="4" w:space="0" w:color="000000"/>
              <w:right w:val="single" w:sz="4" w:space="0" w:color="000000"/>
            </w:tcBorders>
            <w:shd w:val="clear" w:color="auto" w:fill="auto"/>
            <w:vAlign w:val="center"/>
            <w:hideMark/>
          </w:tcPr>
          <w:p w14:paraId="52CFE68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5D3D44E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7BF09E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3239</w:t>
            </w:r>
          </w:p>
        </w:tc>
        <w:tc>
          <w:tcPr>
            <w:tcW w:w="2265" w:type="dxa"/>
            <w:tcBorders>
              <w:top w:val="nil"/>
              <w:left w:val="nil"/>
              <w:bottom w:val="single" w:sz="4" w:space="0" w:color="000000"/>
              <w:right w:val="single" w:sz="4" w:space="0" w:color="000000"/>
            </w:tcBorders>
            <w:shd w:val="clear" w:color="auto" w:fill="auto"/>
            <w:vAlign w:val="center"/>
            <w:hideMark/>
          </w:tcPr>
          <w:p w14:paraId="26EB75CD"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Ostale usluge</w:t>
            </w:r>
          </w:p>
        </w:tc>
        <w:tc>
          <w:tcPr>
            <w:tcW w:w="1418" w:type="dxa"/>
            <w:tcBorders>
              <w:top w:val="nil"/>
              <w:left w:val="nil"/>
              <w:bottom w:val="single" w:sz="4" w:space="0" w:color="000000"/>
              <w:right w:val="single" w:sz="4" w:space="0" w:color="000000"/>
            </w:tcBorders>
            <w:shd w:val="clear" w:color="auto" w:fill="auto"/>
            <w:vAlign w:val="center"/>
            <w:hideMark/>
          </w:tcPr>
          <w:p w14:paraId="32130A9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10.744,36</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F8B44B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CD8CB5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10.107,84</w:t>
            </w:r>
          </w:p>
        </w:tc>
        <w:tc>
          <w:tcPr>
            <w:tcW w:w="993" w:type="dxa"/>
            <w:tcBorders>
              <w:top w:val="nil"/>
              <w:left w:val="nil"/>
              <w:bottom w:val="single" w:sz="4" w:space="0" w:color="000000"/>
              <w:right w:val="single" w:sz="4" w:space="0" w:color="000000"/>
            </w:tcBorders>
            <w:shd w:val="clear" w:color="auto" w:fill="auto"/>
            <w:vAlign w:val="center"/>
            <w:hideMark/>
          </w:tcPr>
          <w:p w14:paraId="63FEC4A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94,08</w:t>
            </w:r>
          </w:p>
        </w:tc>
        <w:tc>
          <w:tcPr>
            <w:tcW w:w="993" w:type="dxa"/>
            <w:tcBorders>
              <w:top w:val="nil"/>
              <w:left w:val="nil"/>
              <w:bottom w:val="single" w:sz="4" w:space="0" w:color="000000"/>
              <w:right w:val="single" w:sz="4" w:space="0" w:color="000000"/>
            </w:tcBorders>
            <w:shd w:val="clear" w:color="auto" w:fill="auto"/>
            <w:vAlign w:val="center"/>
            <w:hideMark/>
          </w:tcPr>
          <w:p w14:paraId="3FCAAC3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262B262"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1289D92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324</w:t>
            </w:r>
          </w:p>
        </w:tc>
        <w:tc>
          <w:tcPr>
            <w:tcW w:w="2265" w:type="dxa"/>
            <w:tcBorders>
              <w:top w:val="nil"/>
              <w:left w:val="nil"/>
              <w:bottom w:val="single" w:sz="4" w:space="0" w:color="000000"/>
              <w:right w:val="single" w:sz="4" w:space="0" w:color="000000"/>
            </w:tcBorders>
            <w:shd w:val="clear" w:color="auto" w:fill="auto"/>
            <w:vAlign w:val="center"/>
            <w:hideMark/>
          </w:tcPr>
          <w:p w14:paraId="4D5C17E3"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troškova osobama izvan radnog odnosa</w:t>
            </w:r>
          </w:p>
        </w:tc>
        <w:tc>
          <w:tcPr>
            <w:tcW w:w="1418" w:type="dxa"/>
            <w:tcBorders>
              <w:top w:val="nil"/>
              <w:left w:val="nil"/>
              <w:bottom w:val="single" w:sz="4" w:space="0" w:color="000000"/>
              <w:right w:val="single" w:sz="4" w:space="0" w:color="000000"/>
            </w:tcBorders>
            <w:shd w:val="clear" w:color="auto" w:fill="auto"/>
            <w:vAlign w:val="center"/>
            <w:hideMark/>
          </w:tcPr>
          <w:p w14:paraId="610D493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5.299,40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5BD9B9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6606D1E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7.277,15</w:t>
            </w:r>
          </w:p>
        </w:tc>
        <w:tc>
          <w:tcPr>
            <w:tcW w:w="993" w:type="dxa"/>
            <w:tcBorders>
              <w:top w:val="nil"/>
              <w:left w:val="nil"/>
              <w:bottom w:val="single" w:sz="4" w:space="0" w:color="000000"/>
              <w:right w:val="single" w:sz="4" w:space="0" w:color="000000"/>
            </w:tcBorders>
            <w:shd w:val="clear" w:color="auto" w:fill="auto"/>
            <w:vAlign w:val="center"/>
            <w:hideMark/>
          </w:tcPr>
          <w:p w14:paraId="2EB0B51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137,32</w:t>
            </w:r>
          </w:p>
        </w:tc>
        <w:tc>
          <w:tcPr>
            <w:tcW w:w="993" w:type="dxa"/>
            <w:tcBorders>
              <w:top w:val="nil"/>
              <w:left w:val="nil"/>
              <w:bottom w:val="single" w:sz="4" w:space="0" w:color="000000"/>
              <w:right w:val="single" w:sz="4" w:space="0" w:color="000000"/>
            </w:tcBorders>
            <w:shd w:val="clear" w:color="auto" w:fill="auto"/>
            <w:vAlign w:val="center"/>
            <w:hideMark/>
          </w:tcPr>
          <w:p w14:paraId="4C20D39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5214CAB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F62219C"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3241</w:t>
            </w:r>
          </w:p>
        </w:tc>
        <w:tc>
          <w:tcPr>
            <w:tcW w:w="2265" w:type="dxa"/>
            <w:tcBorders>
              <w:top w:val="nil"/>
              <w:left w:val="nil"/>
              <w:bottom w:val="single" w:sz="4" w:space="0" w:color="000000"/>
              <w:right w:val="single" w:sz="4" w:space="0" w:color="000000"/>
            </w:tcBorders>
            <w:shd w:val="clear" w:color="auto" w:fill="auto"/>
            <w:vAlign w:val="center"/>
            <w:hideMark/>
          </w:tcPr>
          <w:p w14:paraId="32B02681"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troškova osobama izvan radnog odnosa</w:t>
            </w:r>
          </w:p>
        </w:tc>
        <w:tc>
          <w:tcPr>
            <w:tcW w:w="1418" w:type="dxa"/>
            <w:tcBorders>
              <w:top w:val="nil"/>
              <w:left w:val="nil"/>
              <w:bottom w:val="single" w:sz="4" w:space="0" w:color="000000"/>
              <w:right w:val="single" w:sz="4" w:space="0" w:color="000000"/>
            </w:tcBorders>
            <w:shd w:val="clear" w:color="auto" w:fill="auto"/>
            <w:vAlign w:val="center"/>
            <w:hideMark/>
          </w:tcPr>
          <w:p w14:paraId="2AC1EB9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5.299,40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C78F48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74A8B2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7.277,15</w:t>
            </w:r>
          </w:p>
        </w:tc>
        <w:tc>
          <w:tcPr>
            <w:tcW w:w="993" w:type="dxa"/>
            <w:tcBorders>
              <w:top w:val="nil"/>
              <w:left w:val="nil"/>
              <w:bottom w:val="single" w:sz="4" w:space="0" w:color="000000"/>
              <w:right w:val="single" w:sz="4" w:space="0" w:color="000000"/>
            </w:tcBorders>
            <w:shd w:val="clear" w:color="auto" w:fill="auto"/>
            <w:vAlign w:val="center"/>
            <w:hideMark/>
          </w:tcPr>
          <w:p w14:paraId="01C85CF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137,32</w:t>
            </w:r>
          </w:p>
        </w:tc>
        <w:tc>
          <w:tcPr>
            <w:tcW w:w="993" w:type="dxa"/>
            <w:tcBorders>
              <w:top w:val="nil"/>
              <w:left w:val="nil"/>
              <w:bottom w:val="single" w:sz="4" w:space="0" w:color="000000"/>
              <w:right w:val="single" w:sz="4" w:space="0" w:color="000000"/>
            </w:tcBorders>
            <w:shd w:val="clear" w:color="auto" w:fill="auto"/>
            <w:vAlign w:val="center"/>
            <w:hideMark/>
          </w:tcPr>
          <w:p w14:paraId="7EA3197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16683472"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2B2A3C8"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w:t>
            </w:r>
          </w:p>
        </w:tc>
        <w:tc>
          <w:tcPr>
            <w:tcW w:w="2265" w:type="dxa"/>
            <w:tcBorders>
              <w:top w:val="nil"/>
              <w:left w:val="nil"/>
              <w:bottom w:val="single" w:sz="4" w:space="0" w:color="000000"/>
              <w:right w:val="single" w:sz="4" w:space="0" w:color="000000"/>
            </w:tcBorders>
            <w:shd w:val="clear" w:color="auto" w:fill="auto"/>
            <w:vAlign w:val="center"/>
            <w:hideMark/>
          </w:tcPr>
          <w:p w14:paraId="1A41F172"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nespomenuti rashodi poslovanja</w:t>
            </w:r>
          </w:p>
        </w:tc>
        <w:tc>
          <w:tcPr>
            <w:tcW w:w="1418" w:type="dxa"/>
            <w:tcBorders>
              <w:top w:val="nil"/>
              <w:left w:val="nil"/>
              <w:bottom w:val="single" w:sz="4" w:space="0" w:color="000000"/>
              <w:right w:val="single" w:sz="4" w:space="0" w:color="000000"/>
            </w:tcBorders>
            <w:shd w:val="clear" w:color="auto" w:fill="auto"/>
            <w:vAlign w:val="center"/>
            <w:hideMark/>
          </w:tcPr>
          <w:p w14:paraId="6ED8685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21.504,28</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F2714A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9518A5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12.827,70</w:t>
            </w:r>
          </w:p>
        </w:tc>
        <w:tc>
          <w:tcPr>
            <w:tcW w:w="993" w:type="dxa"/>
            <w:tcBorders>
              <w:top w:val="nil"/>
              <w:left w:val="nil"/>
              <w:bottom w:val="single" w:sz="4" w:space="0" w:color="000000"/>
              <w:right w:val="single" w:sz="4" w:space="0" w:color="000000"/>
            </w:tcBorders>
            <w:shd w:val="clear" w:color="auto" w:fill="auto"/>
            <w:vAlign w:val="center"/>
            <w:hideMark/>
          </w:tcPr>
          <w:p w14:paraId="6835F75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59,65</w:t>
            </w:r>
          </w:p>
        </w:tc>
        <w:tc>
          <w:tcPr>
            <w:tcW w:w="993" w:type="dxa"/>
            <w:tcBorders>
              <w:top w:val="nil"/>
              <w:left w:val="nil"/>
              <w:bottom w:val="single" w:sz="4" w:space="0" w:color="000000"/>
              <w:right w:val="single" w:sz="4" w:space="0" w:color="000000"/>
            </w:tcBorders>
            <w:shd w:val="clear" w:color="auto" w:fill="auto"/>
            <w:vAlign w:val="center"/>
            <w:hideMark/>
          </w:tcPr>
          <w:p w14:paraId="795D969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3EC3B958"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6B0B56F"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3291</w:t>
            </w:r>
          </w:p>
        </w:tc>
        <w:tc>
          <w:tcPr>
            <w:tcW w:w="2265" w:type="dxa"/>
            <w:tcBorders>
              <w:top w:val="nil"/>
              <w:left w:val="nil"/>
              <w:bottom w:val="single" w:sz="4" w:space="0" w:color="000000"/>
              <w:right w:val="single" w:sz="4" w:space="0" w:color="000000"/>
            </w:tcBorders>
            <w:shd w:val="clear" w:color="auto" w:fill="auto"/>
            <w:vAlign w:val="center"/>
            <w:hideMark/>
          </w:tcPr>
          <w:p w14:paraId="342D29C2"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za rad predstavničkih i izvršnih tijela, povjerenstava i slično</w:t>
            </w:r>
          </w:p>
        </w:tc>
        <w:tc>
          <w:tcPr>
            <w:tcW w:w="1418" w:type="dxa"/>
            <w:tcBorders>
              <w:top w:val="nil"/>
              <w:left w:val="nil"/>
              <w:bottom w:val="single" w:sz="4" w:space="0" w:color="000000"/>
              <w:right w:val="single" w:sz="4" w:space="0" w:color="000000"/>
            </w:tcBorders>
            <w:shd w:val="clear" w:color="auto" w:fill="auto"/>
            <w:vAlign w:val="center"/>
            <w:hideMark/>
          </w:tcPr>
          <w:p w14:paraId="43A7C76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3.227,87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69A732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E4118E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4.169,73</w:t>
            </w:r>
          </w:p>
        </w:tc>
        <w:tc>
          <w:tcPr>
            <w:tcW w:w="993" w:type="dxa"/>
            <w:tcBorders>
              <w:top w:val="nil"/>
              <w:left w:val="nil"/>
              <w:bottom w:val="single" w:sz="4" w:space="0" w:color="000000"/>
              <w:right w:val="single" w:sz="4" w:space="0" w:color="000000"/>
            </w:tcBorders>
            <w:shd w:val="clear" w:color="auto" w:fill="auto"/>
            <w:vAlign w:val="center"/>
            <w:hideMark/>
          </w:tcPr>
          <w:p w14:paraId="62653F6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129,18</w:t>
            </w:r>
          </w:p>
        </w:tc>
        <w:tc>
          <w:tcPr>
            <w:tcW w:w="993" w:type="dxa"/>
            <w:tcBorders>
              <w:top w:val="nil"/>
              <w:left w:val="nil"/>
              <w:bottom w:val="single" w:sz="4" w:space="0" w:color="000000"/>
              <w:right w:val="single" w:sz="4" w:space="0" w:color="000000"/>
            </w:tcBorders>
            <w:shd w:val="clear" w:color="auto" w:fill="auto"/>
            <w:vAlign w:val="center"/>
            <w:hideMark/>
          </w:tcPr>
          <w:p w14:paraId="613EBC1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4E94B1B1"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5AA34C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3292</w:t>
            </w:r>
          </w:p>
        </w:tc>
        <w:tc>
          <w:tcPr>
            <w:tcW w:w="2265" w:type="dxa"/>
            <w:tcBorders>
              <w:top w:val="nil"/>
              <w:left w:val="nil"/>
              <w:bottom w:val="single" w:sz="4" w:space="0" w:color="000000"/>
              <w:right w:val="single" w:sz="4" w:space="0" w:color="000000"/>
            </w:tcBorders>
            <w:shd w:val="clear" w:color="auto" w:fill="auto"/>
            <w:vAlign w:val="center"/>
            <w:hideMark/>
          </w:tcPr>
          <w:p w14:paraId="1DB72E34"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Premije osiguranja</w:t>
            </w:r>
          </w:p>
        </w:tc>
        <w:tc>
          <w:tcPr>
            <w:tcW w:w="1418" w:type="dxa"/>
            <w:tcBorders>
              <w:top w:val="nil"/>
              <w:left w:val="nil"/>
              <w:bottom w:val="single" w:sz="4" w:space="0" w:color="000000"/>
              <w:right w:val="single" w:sz="4" w:space="0" w:color="000000"/>
            </w:tcBorders>
            <w:shd w:val="clear" w:color="auto" w:fill="auto"/>
            <w:vAlign w:val="center"/>
            <w:hideMark/>
          </w:tcPr>
          <w:p w14:paraId="1774430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2.809,29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23D3278"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60C6233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2.888,71</w:t>
            </w:r>
          </w:p>
        </w:tc>
        <w:tc>
          <w:tcPr>
            <w:tcW w:w="993" w:type="dxa"/>
            <w:tcBorders>
              <w:top w:val="nil"/>
              <w:left w:val="nil"/>
              <w:bottom w:val="single" w:sz="4" w:space="0" w:color="000000"/>
              <w:right w:val="single" w:sz="4" w:space="0" w:color="000000"/>
            </w:tcBorders>
            <w:shd w:val="clear" w:color="auto" w:fill="auto"/>
            <w:vAlign w:val="center"/>
            <w:hideMark/>
          </w:tcPr>
          <w:p w14:paraId="2C43192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102,83</w:t>
            </w:r>
          </w:p>
        </w:tc>
        <w:tc>
          <w:tcPr>
            <w:tcW w:w="993" w:type="dxa"/>
            <w:tcBorders>
              <w:top w:val="nil"/>
              <w:left w:val="nil"/>
              <w:bottom w:val="single" w:sz="4" w:space="0" w:color="000000"/>
              <w:right w:val="single" w:sz="4" w:space="0" w:color="000000"/>
            </w:tcBorders>
            <w:shd w:val="clear" w:color="auto" w:fill="auto"/>
            <w:vAlign w:val="center"/>
            <w:hideMark/>
          </w:tcPr>
          <w:p w14:paraId="2529C5C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0F930175"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971A3B3"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3293</w:t>
            </w:r>
          </w:p>
        </w:tc>
        <w:tc>
          <w:tcPr>
            <w:tcW w:w="2265" w:type="dxa"/>
            <w:tcBorders>
              <w:top w:val="nil"/>
              <w:left w:val="nil"/>
              <w:bottom w:val="single" w:sz="4" w:space="0" w:color="000000"/>
              <w:right w:val="single" w:sz="4" w:space="0" w:color="000000"/>
            </w:tcBorders>
            <w:shd w:val="clear" w:color="auto" w:fill="auto"/>
            <w:vAlign w:val="center"/>
            <w:hideMark/>
          </w:tcPr>
          <w:p w14:paraId="57A1E00B"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Reprezentacija</w:t>
            </w:r>
          </w:p>
        </w:tc>
        <w:tc>
          <w:tcPr>
            <w:tcW w:w="1418" w:type="dxa"/>
            <w:tcBorders>
              <w:top w:val="nil"/>
              <w:left w:val="nil"/>
              <w:bottom w:val="single" w:sz="4" w:space="0" w:color="000000"/>
              <w:right w:val="single" w:sz="4" w:space="0" w:color="000000"/>
            </w:tcBorders>
            <w:shd w:val="clear" w:color="auto" w:fill="auto"/>
            <w:vAlign w:val="center"/>
            <w:hideMark/>
          </w:tcPr>
          <w:p w14:paraId="781CF3E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13.564,41</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9C643C2"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62224B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4.494,14</w:t>
            </w:r>
          </w:p>
        </w:tc>
        <w:tc>
          <w:tcPr>
            <w:tcW w:w="993" w:type="dxa"/>
            <w:tcBorders>
              <w:top w:val="nil"/>
              <w:left w:val="nil"/>
              <w:bottom w:val="single" w:sz="4" w:space="0" w:color="000000"/>
              <w:right w:val="single" w:sz="4" w:space="0" w:color="000000"/>
            </w:tcBorders>
            <w:shd w:val="clear" w:color="auto" w:fill="auto"/>
            <w:vAlign w:val="center"/>
            <w:hideMark/>
          </w:tcPr>
          <w:p w14:paraId="36E880D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33,13</w:t>
            </w:r>
          </w:p>
        </w:tc>
        <w:tc>
          <w:tcPr>
            <w:tcW w:w="993" w:type="dxa"/>
            <w:tcBorders>
              <w:top w:val="nil"/>
              <w:left w:val="nil"/>
              <w:bottom w:val="single" w:sz="4" w:space="0" w:color="000000"/>
              <w:right w:val="single" w:sz="4" w:space="0" w:color="000000"/>
            </w:tcBorders>
            <w:shd w:val="clear" w:color="auto" w:fill="auto"/>
            <w:vAlign w:val="center"/>
            <w:hideMark/>
          </w:tcPr>
          <w:p w14:paraId="10A47116"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330BBEFB"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15AB9C48"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3295</w:t>
            </w:r>
          </w:p>
        </w:tc>
        <w:tc>
          <w:tcPr>
            <w:tcW w:w="2265" w:type="dxa"/>
            <w:tcBorders>
              <w:top w:val="nil"/>
              <w:left w:val="nil"/>
              <w:bottom w:val="single" w:sz="4" w:space="0" w:color="000000"/>
              <w:right w:val="single" w:sz="4" w:space="0" w:color="000000"/>
            </w:tcBorders>
            <w:shd w:val="clear" w:color="auto" w:fill="auto"/>
            <w:vAlign w:val="center"/>
            <w:hideMark/>
          </w:tcPr>
          <w:p w14:paraId="7397212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Pristojbe i naknade</w:t>
            </w:r>
          </w:p>
        </w:tc>
        <w:tc>
          <w:tcPr>
            <w:tcW w:w="1418" w:type="dxa"/>
            <w:tcBorders>
              <w:top w:val="nil"/>
              <w:left w:val="nil"/>
              <w:bottom w:val="single" w:sz="4" w:space="0" w:color="000000"/>
              <w:right w:val="single" w:sz="4" w:space="0" w:color="000000"/>
            </w:tcBorders>
            <w:shd w:val="clear" w:color="auto" w:fill="auto"/>
            <w:vAlign w:val="center"/>
            <w:hideMark/>
          </w:tcPr>
          <w:p w14:paraId="07E02C2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1.384,43</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E0A198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48114B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670,25</w:t>
            </w:r>
          </w:p>
        </w:tc>
        <w:tc>
          <w:tcPr>
            <w:tcW w:w="993" w:type="dxa"/>
            <w:tcBorders>
              <w:top w:val="nil"/>
              <w:left w:val="nil"/>
              <w:bottom w:val="single" w:sz="4" w:space="0" w:color="000000"/>
              <w:right w:val="single" w:sz="4" w:space="0" w:color="000000"/>
            </w:tcBorders>
            <w:shd w:val="clear" w:color="auto" w:fill="auto"/>
            <w:vAlign w:val="center"/>
            <w:hideMark/>
          </w:tcPr>
          <w:p w14:paraId="0704D32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48,41</w:t>
            </w:r>
          </w:p>
        </w:tc>
        <w:tc>
          <w:tcPr>
            <w:tcW w:w="993" w:type="dxa"/>
            <w:tcBorders>
              <w:top w:val="nil"/>
              <w:left w:val="nil"/>
              <w:bottom w:val="single" w:sz="4" w:space="0" w:color="000000"/>
              <w:right w:val="single" w:sz="4" w:space="0" w:color="000000"/>
            </w:tcBorders>
            <w:shd w:val="clear" w:color="auto" w:fill="auto"/>
            <w:vAlign w:val="center"/>
            <w:hideMark/>
          </w:tcPr>
          <w:p w14:paraId="5F253FC1"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32FFCD62"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4AA844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3299</w:t>
            </w:r>
          </w:p>
        </w:tc>
        <w:tc>
          <w:tcPr>
            <w:tcW w:w="2265" w:type="dxa"/>
            <w:tcBorders>
              <w:top w:val="nil"/>
              <w:left w:val="nil"/>
              <w:bottom w:val="single" w:sz="4" w:space="0" w:color="000000"/>
              <w:right w:val="single" w:sz="4" w:space="0" w:color="000000"/>
            </w:tcBorders>
            <w:shd w:val="clear" w:color="auto" w:fill="auto"/>
            <w:vAlign w:val="center"/>
            <w:hideMark/>
          </w:tcPr>
          <w:p w14:paraId="7CA1F44E"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nespomenuti rashodi poslovanja</w:t>
            </w:r>
          </w:p>
        </w:tc>
        <w:tc>
          <w:tcPr>
            <w:tcW w:w="1418" w:type="dxa"/>
            <w:tcBorders>
              <w:top w:val="nil"/>
              <w:left w:val="nil"/>
              <w:bottom w:val="single" w:sz="4" w:space="0" w:color="000000"/>
              <w:right w:val="single" w:sz="4" w:space="0" w:color="000000"/>
            </w:tcBorders>
            <w:shd w:val="clear" w:color="auto" w:fill="auto"/>
            <w:vAlign w:val="center"/>
            <w:hideMark/>
          </w:tcPr>
          <w:p w14:paraId="6C2643F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518,28</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30AC08A"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E89253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604,87</w:t>
            </w:r>
          </w:p>
        </w:tc>
        <w:tc>
          <w:tcPr>
            <w:tcW w:w="993" w:type="dxa"/>
            <w:tcBorders>
              <w:top w:val="nil"/>
              <w:left w:val="nil"/>
              <w:bottom w:val="single" w:sz="4" w:space="0" w:color="000000"/>
              <w:right w:val="single" w:sz="4" w:space="0" w:color="000000"/>
            </w:tcBorders>
            <w:shd w:val="clear" w:color="auto" w:fill="auto"/>
            <w:vAlign w:val="center"/>
            <w:hideMark/>
          </w:tcPr>
          <w:p w14:paraId="0E65292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116,71</w:t>
            </w:r>
          </w:p>
        </w:tc>
        <w:tc>
          <w:tcPr>
            <w:tcW w:w="993" w:type="dxa"/>
            <w:tcBorders>
              <w:top w:val="nil"/>
              <w:left w:val="nil"/>
              <w:bottom w:val="single" w:sz="4" w:space="0" w:color="000000"/>
              <w:right w:val="single" w:sz="4" w:space="0" w:color="000000"/>
            </w:tcBorders>
            <w:shd w:val="clear" w:color="auto" w:fill="auto"/>
            <w:vAlign w:val="center"/>
            <w:hideMark/>
          </w:tcPr>
          <w:p w14:paraId="59E7F71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74BA81DD"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1A76E4C6"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2265" w:type="dxa"/>
            <w:tcBorders>
              <w:top w:val="nil"/>
              <w:left w:val="nil"/>
              <w:bottom w:val="single" w:sz="4" w:space="0" w:color="000000"/>
              <w:right w:val="single" w:sz="4" w:space="0" w:color="000000"/>
            </w:tcBorders>
            <w:shd w:val="clear" w:color="auto" w:fill="auto"/>
            <w:vAlign w:val="center"/>
            <w:hideMark/>
          </w:tcPr>
          <w:p w14:paraId="5E332DEF"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Rashodi za nabavu nefinancijske imovine</w:t>
            </w:r>
          </w:p>
        </w:tc>
        <w:tc>
          <w:tcPr>
            <w:tcW w:w="1418" w:type="dxa"/>
            <w:tcBorders>
              <w:top w:val="nil"/>
              <w:left w:val="nil"/>
              <w:bottom w:val="single" w:sz="4" w:space="0" w:color="000000"/>
              <w:right w:val="single" w:sz="4" w:space="0" w:color="000000"/>
            </w:tcBorders>
            <w:shd w:val="clear" w:color="auto" w:fill="auto"/>
            <w:vAlign w:val="center"/>
            <w:hideMark/>
          </w:tcPr>
          <w:p w14:paraId="6C7617E4"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13.482,70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97F7F84"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3.000,00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B4B9DD3"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497,50</w:t>
            </w:r>
          </w:p>
        </w:tc>
        <w:tc>
          <w:tcPr>
            <w:tcW w:w="993" w:type="dxa"/>
            <w:tcBorders>
              <w:top w:val="nil"/>
              <w:left w:val="nil"/>
              <w:bottom w:val="single" w:sz="4" w:space="0" w:color="000000"/>
              <w:right w:val="single" w:sz="4" w:space="0" w:color="000000"/>
            </w:tcBorders>
            <w:shd w:val="clear" w:color="auto" w:fill="auto"/>
            <w:vAlign w:val="center"/>
            <w:hideMark/>
          </w:tcPr>
          <w:p w14:paraId="1EF2B4A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3,69</w:t>
            </w:r>
          </w:p>
        </w:tc>
        <w:tc>
          <w:tcPr>
            <w:tcW w:w="993" w:type="dxa"/>
            <w:tcBorders>
              <w:top w:val="nil"/>
              <w:left w:val="nil"/>
              <w:bottom w:val="single" w:sz="4" w:space="0" w:color="000000"/>
              <w:right w:val="single" w:sz="4" w:space="0" w:color="000000"/>
            </w:tcBorders>
            <w:shd w:val="clear" w:color="auto" w:fill="auto"/>
            <w:vAlign w:val="center"/>
            <w:hideMark/>
          </w:tcPr>
          <w:p w14:paraId="6009D844"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16,58</w:t>
            </w:r>
          </w:p>
        </w:tc>
      </w:tr>
      <w:tr w:rsidR="00E552B3" w:rsidRPr="00F120D7" w14:paraId="0C9FD1D2"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32150155"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41</w:t>
            </w:r>
          </w:p>
        </w:tc>
        <w:tc>
          <w:tcPr>
            <w:tcW w:w="2265" w:type="dxa"/>
            <w:tcBorders>
              <w:top w:val="nil"/>
              <w:left w:val="nil"/>
              <w:bottom w:val="single" w:sz="4" w:space="0" w:color="000000"/>
              <w:right w:val="single" w:sz="4" w:space="0" w:color="000000"/>
            </w:tcBorders>
            <w:shd w:val="clear" w:color="auto" w:fill="auto"/>
            <w:vAlign w:val="center"/>
            <w:hideMark/>
          </w:tcPr>
          <w:p w14:paraId="6AE0F211"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Rashodi za nabavu neproizvedene dugotrajne imovine</w:t>
            </w:r>
          </w:p>
        </w:tc>
        <w:tc>
          <w:tcPr>
            <w:tcW w:w="1418" w:type="dxa"/>
            <w:tcBorders>
              <w:top w:val="nil"/>
              <w:left w:val="nil"/>
              <w:bottom w:val="single" w:sz="4" w:space="0" w:color="000000"/>
              <w:right w:val="single" w:sz="4" w:space="0" w:color="000000"/>
            </w:tcBorders>
            <w:shd w:val="clear" w:color="auto" w:fill="auto"/>
            <w:vAlign w:val="center"/>
            <w:hideMark/>
          </w:tcPr>
          <w:p w14:paraId="52B36E5C"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1.045,75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489DA6BF"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1.000,00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6312D9BB"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497,50</w:t>
            </w:r>
          </w:p>
        </w:tc>
        <w:tc>
          <w:tcPr>
            <w:tcW w:w="993" w:type="dxa"/>
            <w:tcBorders>
              <w:top w:val="nil"/>
              <w:left w:val="nil"/>
              <w:bottom w:val="single" w:sz="4" w:space="0" w:color="000000"/>
              <w:right w:val="single" w:sz="4" w:space="0" w:color="000000"/>
            </w:tcBorders>
            <w:shd w:val="clear" w:color="auto" w:fill="auto"/>
            <w:vAlign w:val="center"/>
            <w:hideMark/>
          </w:tcPr>
          <w:p w14:paraId="6537CDCC"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47,57</w:t>
            </w:r>
          </w:p>
        </w:tc>
        <w:tc>
          <w:tcPr>
            <w:tcW w:w="993" w:type="dxa"/>
            <w:tcBorders>
              <w:top w:val="nil"/>
              <w:left w:val="nil"/>
              <w:bottom w:val="single" w:sz="4" w:space="0" w:color="000000"/>
              <w:right w:val="single" w:sz="4" w:space="0" w:color="000000"/>
            </w:tcBorders>
            <w:shd w:val="clear" w:color="auto" w:fill="auto"/>
            <w:vAlign w:val="center"/>
            <w:hideMark/>
          </w:tcPr>
          <w:p w14:paraId="28DEF669"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49,75</w:t>
            </w:r>
          </w:p>
        </w:tc>
      </w:tr>
      <w:tr w:rsidR="00E552B3" w:rsidRPr="00F120D7" w14:paraId="45A28219"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6A41173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412</w:t>
            </w:r>
          </w:p>
        </w:tc>
        <w:tc>
          <w:tcPr>
            <w:tcW w:w="2265" w:type="dxa"/>
            <w:tcBorders>
              <w:top w:val="nil"/>
              <w:left w:val="nil"/>
              <w:bottom w:val="single" w:sz="4" w:space="0" w:color="000000"/>
              <w:right w:val="single" w:sz="4" w:space="0" w:color="000000"/>
            </w:tcBorders>
            <w:shd w:val="clear" w:color="auto" w:fill="auto"/>
            <w:vAlign w:val="center"/>
            <w:hideMark/>
          </w:tcPr>
          <w:p w14:paraId="5E238B97"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Nematerijalna imovina</w:t>
            </w:r>
          </w:p>
        </w:tc>
        <w:tc>
          <w:tcPr>
            <w:tcW w:w="1418" w:type="dxa"/>
            <w:tcBorders>
              <w:top w:val="nil"/>
              <w:left w:val="nil"/>
              <w:bottom w:val="single" w:sz="4" w:space="0" w:color="000000"/>
              <w:right w:val="single" w:sz="4" w:space="0" w:color="000000"/>
            </w:tcBorders>
            <w:shd w:val="clear" w:color="auto" w:fill="auto"/>
            <w:vAlign w:val="center"/>
            <w:hideMark/>
          </w:tcPr>
          <w:p w14:paraId="14AF031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1.045,75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915432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FBEB7F7"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497,50</w:t>
            </w:r>
          </w:p>
        </w:tc>
        <w:tc>
          <w:tcPr>
            <w:tcW w:w="993" w:type="dxa"/>
            <w:tcBorders>
              <w:top w:val="nil"/>
              <w:left w:val="nil"/>
              <w:bottom w:val="single" w:sz="4" w:space="0" w:color="000000"/>
              <w:right w:val="single" w:sz="4" w:space="0" w:color="000000"/>
            </w:tcBorders>
            <w:shd w:val="clear" w:color="auto" w:fill="auto"/>
            <w:vAlign w:val="center"/>
            <w:hideMark/>
          </w:tcPr>
          <w:p w14:paraId="32A4556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47,57</w:t>
            </w:r>
          </w:p>
        </w:tc>
        <w:tc>
          <w:tcPr>
            <w:tcW w:w="993" w:type="dxa"/>
            <w:tcBorders>
              <w:top w:val="nil"/>
              <w:left w:val="nil"/>
              <w:bottom w:val="single" w:sz="4" w:space="0" w:color="000000"/>
              <w:right w:val="single" w:sz="4" w:space="0" w:color="000000"/>
            </w:tcBorders>
            <w:shd w:val="clear" w:color="auto" w:fill="auto"/>
            <w:vAlign w:val="center"/>
            <w:hideMark/>
          </w:tcPr>
          <w:p w14:paraId="656DF02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28619A77"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0665DDF0"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4123</w:t>
            </w:r>
          </w:p>
        </w:tc>
        <w:tc>
          <w:tcPr>
            <w:tcW w:w="2265" w:type="dxa"/>
            <w:tcBorders>
              <w:top w:val="nil"/>
              <w:left w:val="nil"/>
              <w:bottom w:val="single" w:sz="4" w:space="0" w:color="000000"/>
              <w:right w:val="single" w:sz="4" w:space="0" w:color="000000"/>
            </w:tcBorders>
            <w:shd w:val="clear" w:color="auto" w:fill="auto"/>
            <w:vAlign w:val="center"/>
            <w:hideMark/>
          </w:tcPr>
          <w:p w14:paraId="0D000666"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Licence</w:t>
            </w:r>
          </w:p>
        </w:tc>
        <w:tc>
          <w:tcPr>
            <w:tcW w:w="1418" w:type="dxa"/>
            <w:tcBorders>
              <w:top w:val="nil"/>
              <w:left w:val="nil"/>
              <w:bottom w:val="single" w:sz="4" w:space="0" w:color="000000"/>
              <w:right w:val="single" w:sz="4" w:space="0" w:color="000000"/>
            </w:tcBorders>
            <w:shd w:val="clear" w:color="auto" w:fill="auto"/>
            <w:vAlign w:val="center"/>
            <w:hideMark/>
          </w:tcPr>
          <w:p w14:paraId="55023219"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1.045,75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048C80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32E209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497,50</w:t>
            </w:r>
          </w:p>
        </w:tc>
        <w:tc>
          <w:tcPr>
            <w:tcW w:w="993" w:type="dxa"/>
            <w:tcBorders>
              <w:top w:val="nil"/>
              <w:left w:val="nil"/>
              <w:bottom w:val="single" w:sz="4" w:space="0" w:color="000000"/>
              <w:right w:val="single" w:sz="4" w:space="0" w:color="000000"/>
            </w:tcBorders>
            <w:shd w:val="clear" w:color="auto" w:fill="auto"/>
            <w:vAlign w:val="center"/>
            <w:hideMark/>
          </w:tcPr>
          <w:p w14:paraId="6BA5F4BC"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47,57</w:t>
            </w:r>
          </w:p>
        </w:tc>
        <w:tc>
          <w:tcPr>
            <w:tcW w:w="993" w:type="dxa"/>
            <w:tcBorders>
              <w:top w:val="nil"/>
              <w:left w:val="nil"/>
              <w:bottom w:val="single" w:sz="4" w:space="0" w:color="000000"/>
              <w:right w:val="single" w:sz="4" w:space="0" w:color="000000"/>
            </w:tcBorders>
            <w:shd w:val="clear" w:color="auto" w:fill="auto"/>
            <w:vAlign w:val="center"/>
            <w:hideMark/>
          </w:tcPr>
          <w:p w14:paraId="58AAB7F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6D0FF3B7"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436F7F21"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42</w:t>
            </w:r>
          </w:p>
        </w:tc>
        <w:tc>
          <w:tcPr>
            <w:tcW w:w="2265" w:type="dxa"/>
            <w:tcBorders>
              <w:top w:val="nil"/>
              <w:left w:val="nil"/>
              <w:bottom w:val="single" w:sz="4" w:space="0" w:color="000000"/>
              <w:right w:val="single" w:sz="4" w:space="0" w:color="000000"/>
            </w:tcBorders>
            <w:shd w:val="clear" w:color="auto" w:fill="auto"/>
            <w:vAlign w:val="center"/>
            <w:hideMark/>
          </w:tcPr>
          <w:p w14:paraId="276CDBCC" w14:textId="77777777" w:rsidR="00367EB7" w:rsidRPr="00F120D7" w:rsidRDefault="00367EB7"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Rashodi za nabavu proizvedene dugotrajne imovine</w:t>
            </w:r>
          </w:p>
        </w:tc>
        <w:tc>
          <w:tcPr>
            <w:tcW w:w="1418" w:type="dxa"/>
            <w:tcBorders>
              <w:top w:val="nil"/>
              <w:left w:val="nil"/>
              <w:bottom w:val="single" w:sz="4" w:space="0" w:color="000000"/>
              <w:right w:val="single" w:sz="4" w:space="0" w:color="000000"/>
            </w:tcBorders>
            <w:shd w:val="clear" w:color="auto" w:fill="auto"/>
            <w:vAlign w:val="center"/>
            <w:hideMark/>
          </w:tcPr>
          <w:p w14:paraId="1638ED8A"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12.436,95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0FD851A"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2.000,00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8E7F23D"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3544E60D"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w:t>
            </w:r>
          </w:p>
        </w:tc>
        <w:tc>
          <w:tcPr>
            <w:tcW w:w="993" w:type="dxa"/>
            <w:tcBorders>
              <w:top w:val="nil"/>
              <w:left w:val="nil"/>
              <w:bottom w:val="single" w:sz="4" w:space="0" w:color="000000"/>
              <w:right w:val="single" w:sz="4" w:space="0" w:color="000000"/>
            </w:tcBorders>
            <w:shd w:val="clear" w:color="auto" w:fill="auto"/>
            <w:vAlign w:val="center"/>
            <w:hideMark/>
          </w:tcPr>
          <w:p w14:paraId="2F3A5D09" w14:textId="77777777" w:rsidR="00367EB7" w:rsidRPr="00F120D7" w:rsidRDefault="00367EB7"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w:t>
            </w:r>
          </w:p>
        </w:tc>
      </w:tr>
      <w:tr w:rsidR="00E552B3" w:rsidRPr="00F120D7" w14:paraId="5910E8FC"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18059E5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422</w:t>
            </w:r>
          </w:p>
        </w:tc>
        <w:tc>
          <w:tcPr>
            <w:tcW w:w="2265" w:type="dxa"/>
            <w:tcBorders>
              <w:top w:val="nil"/>
              <w:left w:val="nil"/>
              <w:bottom w:val="single" w:sz="4" w:space="0" w:color="000000"/>
              <w:right w:val="single" w:sz="4" w:space="0" w:color="000000"/>
            </w:tcBorders>
            <w:shd w:val="clear" w:color="auto" w:fill="auto"/>
            <w:vAlign w:val="center"/>
            <w:hideMark/>
          </w:tcPr>
          <w:p w14:paraId="2A97D741"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Postrojenja i oprema</w:t>
            </w:r>
          </w:p>
        </w:tc>
        <w:tc>
          <w:tcPr>
            <w:tcW w:w="1418" w:type="dxa"/>
            <w:tcBorders>
              <w:top w:val="nil"/>
              <w:left w:val="nil"/>
              <w:bottom w:val="single" w:sz="4" w:space="0" w:color="000000"/>
              <w:right w:val="single" w:sz="4" w:space="0" w:color="000000"/>
            </w:tcBorders>
            <w:shd w:val="clear" w:color="auto" w:fill="auto"/>
            <w:vAlign w:val="center"/>
            <w:hideMark/>
          </w:tcPr>
          <w:p w14:paraId="1E29B12E"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12.436,95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407F0003"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633045C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4DF3046B"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w:t>
            </w:r>
          </w:p>
        </w:tc>
        <w:tc>
          <w:tcPr>
            <w:tcW w:w="993" w:type="dxa"/>
            <w:tcBorders>
              <w:top w:val="nil"/>
              <w:left w:val="nil"/>
              <w:bottom w:val="single" w:sz="4" w:space="0" w:color="000000"/>
              <w:right w:val="single" w:sz="4" w:space="0" w:color="000000"/>
            </w:tcBorders>
            <w:shd w:val="clear" w:color="auto" w:fill="auto"/>
            <w:vAlign w:val="center"/>
            <w:hideMark/>
          </w:tcPr>
          <w:p w14:paraId="7EFD5E2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E552B3" w:rsidRPr="00F120D7" w14:paraId="13481BF1" w14:textId="77777777" w:rsidTr="00F52211">
        <w:trPr>
          <w:trHeight w:val="51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14:paraId="78C6F305"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4221</w:t>
            </w:r>
          </w:p>
        </w:tc>
        <w:tc>
          <w:tcPr>
            <w:tcW w:w="2265" w:type="dxa"/>
            <w:tcBorders>
              <w:top w:val="nil"/>
              <w:left w:val="nil"/>
              <w:bottom w:val="single" w:sz="4" w:space="0" w:color="000000"/>
              <w:right w:val="single" w:sz="4" w:space="0" w:color="000000"/>
            </w:tcBorders>
            <w:shd w:val="clear" w:color="auto" w:fill="auto"/>
            <w:vAlign w:val="center"/>
            <w:hideMark/>
          </w:tcPr>
          <w:p w14:paraId="0366011A" w14:textId="77777777" w:rsidR="00367EB7" w:rsidRPr="00F120D7" w:rsidRDefault="00367EB7"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Uredska oprema i namještaj</w:t>
            </w:r>
          </w:p>
        </w:tc>
        <w:tc>
          <w:tcPr>
            <w:tcW w:w="1418" w:type="dxa"/>
            <w:tcBorders>
              <w:top w:val="nil"/>
              <w:left w:val="nil"/>
              <w:bottom w:val="single" w:sz="4" w:space="0" w:color="000000"/>
              <w:right w:val="single" w:sz="4" w:space="0" w:color="000000"/>
            </w:tcBorders>
            <w:shd w:val="clear" w:color="auto" w:fill="auto"/>
            <w:vAlign w:val="center"/>
            <w:hideMark/>
          </w:tcPr>
          <w:p w14:paraId="7B4506B4"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12.436,95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21F1370"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D3986D5"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42F6565F"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w:t>
            </w:r>
          </w:p>
        </w:tc>
        <w:tc>
          <w:tcPr>
            <w:tcW w:w="993" w:type="dxa"/>
            <w:tcBorders>
              <w:top w:val="nil"/>
              <w:left w:val="nil"/>
              <w:bottom w:val="single" w:sz="4" w:space="0" w:color="000000"/>
              <w:right w:val="single" w:sz="4" w:space="0" w:color="000000"/>
            </w:tcBorders>
            <w:shd w:val="clear" w:color="auto" w:fill="auto"/>
            <w:vAlign w:val="center"/>
            <w:hideMark/>
          </w:tcPr>
          <w:p w14:paraId="7F5C4ECD" w14:textId="77777777" w:rsidR="00367EB7" w:rsidRPr="00F120D7" w:rsidRDefault="00367EB7"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 </w:t>
            </w:r>
          </w:p>
        </w:tc>
      </w:tr>
      <w:tr w:rsidR="002C5828" w:rsidRPr="00F120D7" w14:paraId="2BF053B9" w14:textId="77777777" w:rsidTr="001D0292">
        <w:trPr>
          <w:trHeight w:val="300"/>
          <w:jc w:val="center"/>
        </w:trPr>
        <w:tc>
          <w:tcPr>
            <w:tcW w:w="9493" w:type="dxa"/>
            <w:gridSpan w:val="10"/>
            <w:tcBorders>
              <w:top w:val="nil"/>
              <w:left w:val="nil"/>
              <w:bottom w:val="nil"/>
              <w:right w:val="nil"/>
            </w:tcBorders>
            <w:shd w:val="clear" w:color="auto" w:fill="auto"/>
            <w:hideMark/>
          </w:tcPr>
          <w:p w14:paraId="4C37E3F5" w14:textId="77777777" w:rsidR="00180063" w:rsidRPr="00F120D7" w:rsidRDefault="00180063" w:rsidP="005C0B7C">
            <w:pPr>
              <w:spacing w:after="0" w:line="240" w:lineRule="auto"/>
              <w:jc w:val="center"/>
              <w:rPr>
                <w:rFonts w:ascii="Times New Roman" w:eastAsia="Times New Roman" w:hAnsi="Times New Roman" w:cs="Times New Roman"/>
                <w:b/>
                <w:bCs/>
                <w:color w:val="000000"/>
                <w:lang w:eastAsia="hr-HR"/>
              </w:rPr>
            </w:pPr>
          </w:p>
          <w:p w14:paraId="01E7929D" w14:textId="2FDA6CF1" w:rsidR="002C5828"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r w:rsidR="002C5828" w:rsidRPr="00F120D7">
              <w:rPr>
                <w:rFonts w:ascii="Times New Roman" w:eastAsia="Times New Roman" w:hAnsi="Times New Roman" w:cs="Times New Roman"/>
                <w:b/>
                <w:bCs/>
                <w:color w:val="000000"/>
                <w:lang w:eastAsia="hr-HR"/>
              </w:rPr>
              <w:t>.2.2. IZVJEŠTAJ O PRIHODIMA I RASHODIMA PREMA IZVORIMA FINANCIRANJA</w:t>
            </w:r>
          </w:p>
        </w:tc>
      </w:tr>
      <w:tr w:rsidR="002C5828" w:rsidRPr="00F120D7" w14:paraId="640C0B30" w14:textId="77777777" w:rsidTr="00F52211">
        <w:trPr>
          <w:trHeight w:val="30"/>
          <w:jc w:val="center"/>
        </w:trPr>
        <w:tc>
          <w:tcPr>
            <w:tcW w:w="478" w:type="dxa"/>
            <w:tcBorders>
              <w:top w:val="nil"/>
              <w:left w:val="nil"/>
              <w:bottom w:val="nil"/>
              <w:right w:val="nil"/>
            </w:tcBorders>
            <w:shd w:val="clear" w:color="auto" w:fill="auto"/>
            <w:noWrap/>
            <w:vAlign w:val="bottom"/>
            <w:hideMark/>
          </w:tcPr>
          <w:p w14:paraId="3DC8AD03"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p>
        </w:tc>
        <w:tc>
          <w:tcPr>
            <w:tcW w:w="2494" w:type="dxa"/>
            <w:gridSpan w:val="2"/>
            <w:tcBorders>
              <w:top w:val="nil"/>
              <w:left w:val="nil"/>
              <w:bottom w:val="nil"/>
              <w:right w:val="nil"/>
            </w:tcBorders>
            <w:shd w:val="clear" w:color="auto" w:fill="auto"/>
            <w:noWrap/>
            <w:vAlign w:val="bottom"/>
            <w:hideMark/>
          </w:tcPr>
          <w:p w14:paraId="56A21D89"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418" w:type="dxa"/>
            <w:tcBorders>
              <w:top w:val="nil"/>
              <w:left w:val="nil"/>
              <w:bottom w:val="nil"/>
              <w:right w:val="nil"/>
            </w:tcBorders>
            <w:shd w:val="clear" w:color="auto" w:fill="auto"/>
            <w:noWrap/>
            <w:vAlign w:val="bottom"/>
            <w:hideMark/>
          </w:tcPr>
          <w:p w14:paraId="2453FB9F"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559" w:type="dxa"/>
            <w:gridSpan w:val="2"/>
            <w:tcBorders>
              <w:top w:val="nil"/>
              <w:left w:val="nil"/>
              <w:bottom w:val="nil"/>
              <w:right w:val="nil"/>
            </w:tcBorders>
            <w:shd w:val="clear" w:color="auto" w:fill="auto"/>
            <w:noWrap/>
            <w:vAlign w:val="bottom"/>
            <w:hideMark/>
          </w:tcPr>
          <w:p w14:paraId="44E8B6FD"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558" w:type="dxa"/>
            <w:gridSpan w:val="2"/>
            <w:tcBorders>
              <w:top w:val="nil"/>
              <w:left w:val="nil"/>
              <w:bottom w:val="nil"/>
              <w:right w:val="nil"/>
            </w:tcBorders>
            <w:shd w:val="clear" w:color="auto" w:fill="auto"/>
            <w:noWrap/>
            <w:vAlign w:val="bottom"/>
            <w:hideMark/>
          </w:tcPr>
          <w:p w14:paraId="2EC0D28A"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3659CEAD"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2E5A94D2" w14:textId="77777777" w:rsidR="002C5828" w:rsidRPr="00F120D7" w:rsidRDefault="002C5828" w:rsidP="005C0B7C">
            <w:pPr>
              <w:spacing w:after="0" w:line="240" w:lineRule="auto"/>
              <w:rPr>
                <w:rFonts w:ascii="Times New Roman" w:eastAsia="Times New Roman" w:hAnsi="Times New Roman" w:cs="Times New Roman"/>
                <w:lang w:eastAsia="hr-HR"/>
              </w:rPr>
            </w:pPr>
          </w:p>
        </w:tc>
      </w:tr>
      <w:tr w:rsidR="002C5828" w:rsidRPr="00F120D7" w14:paraId="131EE5C0" w14:textId="77777777" w:rsidTr="001D0292">
        <w:trPr>
          <w:trHeight w:val="300"/>
          <w:jc w:val="center"/>
        </w:trPr>
        <w:tc>
          <w:tcPr>
            <w:tcW w:w="9493" w:type="dxa"/>
            <w:gridSpan w:val="10"/>
            <w:tcBorders>
              <w:top w:val="nil"/>
              <w:left w:val="nil"/>
              <w:bottom w:val="nil"/>
              <w:right w:val="nil"/>
            </w:tcBorders>
            <w:shd w:val="clear" w:color="auto" w:fill="auto"/>
            <w:vAlign w:val="center"/>
            <w:hideMark/>
          </w:tcPr>
          <w:p w14:paraId="3D16148B" w14:textId="4979ABC3"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p>
        </w:tc>
      </w:tr>
      <w:tr w:rsidR="002C5828" w:rsidRPr="00F120D7" w14:paraId="41353EAE" w14:textId="77777777" w:rsidTr="00F52211">
        <w:trPr>
          <w:trHeight w:val="80"/>
          <w:jc w:val="center"/>
        </w:trPr>
        <w:tc>
          <w:tcPr>
            <w:tcW w:w="478" w:type="dxa"/>
            <w:tcBorders>
              <w:top w:val="nil"/>
              <w:left w:val="nil"/>
              <w:bottom w:val="nil"/>
              <w:right w:val="nil"/>
            </w:tcBorders>
            <w:shd w:val="clear" w:color="auto" w:fill="auto"/>
            <w:noWrap/>
            <w:vAlign w:val="bottom"/>
            <w:hideMark/>
          </w:tcPr>
          <w:p w14:paraId="2360B4A5"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p>
        </w:tc>
        <w:tc>
          <w:tcPr>
            <w:tcW w:w="2494" w:type="dxa"/>
            <w:gridSpan w:val="2"/>
            <w:tcBorders>
              <w:top w:val="nil"/>
              <w:left w:val="nil"/>
              <w:bottom w:val="nil"/>
              <w:right w:val="nil"/>
            </w:tcBorders>
            <w:shd w:val="clear" w:color="auto" w:fill="auto"/>
            <w:noWrap/>
            <w:vAlign w:val="bottom"/>
            <w:hideMark/>
          </w:tcPr>
          <w:p w14:paraId="4FFED2C4"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418" w:type="dxa"/>
            <w:tcBorders>
              <w:top w:val="nil"/>
              <w:left w:val="nil"/>
              <w:bottom w:val="nil"/>
              <w:right w:val="nil"/>
            </w:tcBorders>
            <w:shd w:val="clear" w:color="auto" w:fill="auto"/>
            <w:noWrap/>
            <w:vAlign w:val="bottom"/>
            <w:hideMark/>
          </w:tcPr>
          <w:p w14:paraId="7DE88536"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559" w:type="dxa"/>
            <w:gridSpan w:val="2"/>
            <w:tcBorders>
              <w:top w:val="nil"/>
              <w:left w:val="nil"/>
              <w:bottom w:val="nil"/>
              <w:right w:val="nil"/>
            </w:tcBorders>
            <w:shd w:val="clear" w:color="auto" w:fill="auto"/>
            <w:noWrap/>
            <w:vAlign w:val="bottom"/>
            <w:hideMark/>
          </w:tcPr>
          <w:p w14:paraId="5C4B6AEB"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558" w:type="dxa"/>
            <w:gridSpan w:val="2"/>
            <w:tcBorders>
              <w:top w:val="nil"/>
              <w:left w:val="nil"/>
              <w:bottom w:val="nil"/>
              <w:right w:val="nil"/>
            </w:tcBorders>
            <w:shd w:val="clear" w:color="auto" w:fill="auto"/>
            <w:noWrap/>
            <w:vAlign w:val="bottom"/>
            <w:hideMark/>
          </w:tcPr>
          <w:p w14:paraId="54518E6A"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57D15891"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153F8746" w14:textId="77777777" w:rsidR="002C5828" w:rsidRPr="00F120D7" w:rsidRDefault="002C5828" w:rsidP="005C0B7C">
            <w:pPr>
              <w:spacing w:after="0" w:line="240" w:lineRule="auto"/>
              <w:rPr>
                <w:rFonts w:ascii="Times New Roman" w:eastAsia="Times New Roman" w:hAnsi="Times New Roman" w:cs="Times New Roman"/>
                <w:lang w:eastAsia="hr-HR"/>
              </w:rPr>
            </w:pPr>
          </w:p>
        </w:tc>
      </w:tr>
      <w:tr w:rsidR="002C5828" w:rsidRPr="00F120D7" w14:paraId="4AE0F878" w14:textId="77777777" w:rsidTr="00F52211">
        <w:trPr>
          <w:trHeight w:val="55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32B2602B"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418" w:type="dxa"/>
            <w:tcBorders>
              <w:top w:val="single" w:sz="4" w:space="0" w:color="000000"/>
              <w:left w:val="nil"/>
              <w:bottom w:val="single" w:sz="4" w:space="0" w:color="000000"/>
              <w:right w:val="single" w:sz="4" w:space="0" w:color="000000"/>
            </w:tcBorders>
            <w:shd w:val="clear" w:color="000000" w:fill="DCDCDC"/>
            <w:vAlign w:val="center"/>
            <w:hideMark/>
          </w:tcPr>
          <w:p w14:paraId="00202BFD"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 31.12.2023.</w:t>
            </w:r>
          </w:p>
        </w:tc>
        <w:tc>
          <w:tcPr>
            <w:tcW w:w="1559"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6D443EA2"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8"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6E23AFC2"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 31.12.2024.</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6A1A84B5"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Indeks </w:t>
            </w:r>
            <w:r w:rsidRPr="00F120D7">
              <w:rPr>
                <w:rFonts w:ascii="Times New Roman" w:eastAsia="Times New Roman" w:hAnsi="Times New Roman" w:cs="Times New Roman"/>
                <w:b/>
                <w:bCs/>
                <w:color w:val="000000"/>
                <w:lang w:eastAsia="hr-HR"/>
              </w:rPr>
              <w:br/>
              <w:t>4 / 2</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16620EDD"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r>
      <w:tr w:rsidR="002C5828" w:rsidRPr="00F120D7" w14:paraId="685C4F88" w14:textId="77777777" w:rsidTr="00F52211">
        <w:trPr>
          <w:trHeight w:val="22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8F8AC"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418" w:type="dxa"/>
            <w:tcBorders>
              <w:top w:val="nil"/>
              <w:left w:val="nil"/>
              <w:bottom w:val="single" w:sz="4" w:space="0" w:color="000000"/>
              <w:right w:val="single" w:sz="4" w:space="0" w:color="000000"/>
            </w:tcBorders>
            <w:shd w:val="clear" w:color="auto" w:fill="auto"/>
            <w:vAlign w:val="center"/>
            <w:hideMark/>
          </w:tcPr>
          <w:p w14:paraId="7458B998"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AD4F7A1"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72C9543"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7466E089"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3" w:type="dxa"/>
            <w:tcBorders>
              <w:top w:val="nil"/>
              <w:left w:val="nil"/>
              <w:bottom w:val="single" w:sz="4" w:space="0" w:color="000000"/>
              <w:right w:val="single" w:sz="4" w:space="0" w:color="000000"/>
            </w:tcBorders>
            <w:shd w:val="clear" w:color="auto" w:fill="auto"/>
            <w:vAlign w:val="center"/>
            <w:hideMark/>
          </w:tcPr>
          <w:p w14:paraId="29C0E6A0"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2C5828" w:rsidRPr="00F120D7" w14:paraId="221B1D89"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3863F238" w14:textId="77777777" w:rsidR="002C5828" w:rsidRPr="00F120D7" w:rsidRDefault="002C5828"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6D5011B4" w14:textId="77777777" w:rsidR="002C5828" w:rsidRPr="00F120D7" w:rsidRDefault="002C5828"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UKUPNO PRIHODI</w:t>
            </w:r>
          </w:p>
        </w:tc>
        <w:tc>
          <w:tcPr>
            <w:tcW w:w="1418" w:type="dxa"/>
            <w:tcBorders>
              <w:top w:val="nil"/>
              <w:left w:val="nil"/>
              <w:bottom w:val="single" w:sz="4" w:space="0" w:color="000000"/>
              <w:right w:val="single" w:sz="4" w:space="0" w:color="000000"/>
            </w:tcBorders>
            <w:shd w:val="clear" w:color="auto" w:fill="auto"/>
            <w:vAlign w:val="center"/>
            <w:hideMark/>
          </w:tcPr>
          <w:p w14:paraId="33C40B8B"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719.312,84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2FBB5BB"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891.227,00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D777F6F"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825.485,50</w:t>
            </w:r>
          </w:p>
        </w:tc>
        <w:tc>
          <w:tcPr>
            <w:tcW w:w="993" w:type="dxa"/>
            <w:tcBorders>
              <w:top w:val="nil"/>
              <w:left w:val="nil"/>
              <w:bottom w:val="single" w:sz="4" w:space="0" w:color="000000"/>
              <w:right w:val="single" w:sz="4" w:space="0" w:color="000000"/>
            </w:tcBorders>
            <w:shd w:val="clear" w:color="auto" w:fill="auto"/>
            <w:vAlign w:val="center"/>
            <w:hideMark/>
          </w:tcPr>
          <w:p w14:paraId="3C607728"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114,76</w:t>
            </w:r>
          </w:p>
        </w:tc>
        <w:tc>
          <w:tcPr>
            <w:tcW w:w="993" w:type="dxa"/>
            <w:tcBorders>
              <w:top w:val="nil"/>
              <w:left w:val="nil"/>
              <w:bottom w:val="single" w:sz="4" w:space="0" w:color="000000"/>
              <w:right w:val="single" w:sz="4" w:space="0" w:color="000000"/>
            </w:tcBorders>
            <w:shd w:val="clear" w:color="auto" w:fill="auto"/>
            <w:vAlign w:val="center"/>
            <w:hideMark/>
          </w:tcPr>
          <w:p w14:paraId="5BC7FBFE"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92,62</w:t>
            </w:r>
          </w:p>
        </w:tc>
      </w:tr>
      <w:tr w:rsidR="002C5828" w:rsidRPr="00F120D7" w14:paraId="20625DE2"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0548D795"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56831531"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OPĆI PRIHODI I PRIMICI</w:t>
            </w:r>
          </w:p>
        </w:tc>
        <w:tc>
          <w:tcPr>
            <w:tcW w:w="1418" w:type="dxa"/>
            <w:tcBorders>
              <w:top w:val="nil"/>
              <w:left w:val="nil"/>
              <w:bottom w:val="single" w:sz="4" w:space="0" w:color="000000"/>
              <w:right w:val="single" w:sz="4" w:space="0" w:color="000000"/>
            </w:tcBorders>
            <w:shd w:val="clear" w:color="auto" w:fill="auto"/>
            <w:vAlign w:val="center"/>
            <w:hideMark/>
          </w:tcPr>
          <w:p w14:paraId="7DD0DD20"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295.662,90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0C01D25"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402.918,00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52AEC7B"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331.975,82</w:t>
            </w:r>
          </w:p>
        </w:tc>
        <w:tc>
          <w:tcPr>
            <w:tcW w:w="993" w:type="dxa"/>
            <w:tcBorders>
              <w:top w:val="nil"/>
              <w:left w:val="nil"/>
              <w:bottom w:val="single" w:sz="4" w:space="0" w:color="000000"/>
              <w:right w:val="single" w:sz="4" w:space="0" w:color="000000"/>
            </w:tcBorders>
            <w:shd w:val="clear" w:color="auto" w:fill="auto"/>
            <w:vAlign w:val="center"/>
            <w:hideMark/>
          </w:tcPr>
          <w:p w14:paraId="0ABF14EF"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112,28</w:t>
            </w:r>
          </w:p>
        </w:tc>
        <w:tc>
          <w:tcPr>
            <w:tcW w:w="993" w:type="dxa"/>
            <w:tcBorders>
              <w:top w:val="nil"/>
              <w:left w:val="nil"/>
              <w:bottom w:val="single" w:sz="4" w:space="0" w:color="000000"/>
              <w:right w:val="single" w:sz="4" w:space="0" w:color="000000"/>
            </w:tcBorders>
            <w:shd w:val="clear" w:color="auto" w:fill="auto"/>
            <w:vAlign w:val="center"/>
            <w:hideMark/>
          </w:tcPr>
          <w:p w14:paraId="5F92DE2D"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82,39</w:t>
            </w:r>
          </w:p>
        </w:tc>
      </w:tr>
      <w:tr w:rsidR="002C5828" w:rsidRPr="00F120D7" w14:paraId="607C1517"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78B87267"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5709C850"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OD POREZA ZA REDOVNU DJELATNOST</w:t>
            </w:r>
          </w:p>
        </w:tc>
        <w:tc>
          <w:tcPr>
            <w:tcW w:w="1418" w:type="dxa"/>
            <w:tcBorders>
              <w:top w:val="nil"/>
              <w:left w:val="nil"/>
              <w:bottom w:val="single" w:sz="4" w:space="0" w:color="000000"/>
              <w:right w:val="single" w:sz="4" w:space="0" w:color="000000"/>
            </w:tcBorders>
            <w:shd w:val="clear" w:color="auto" w:fill="auto"/>
            <w:vAlign w:val="center"/>
            <w:hideMark/>
          </w:tcPr>
          <w:p w14:paraId="2D56784F"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238.135,03</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95240F8"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309.638,00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39354DF"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282.081,90</w:t>
            </w:r>
          </w:p>
        </w:tc>
        <w:tc>
          <w:tcPr>
            <w:tcW w:w="993" w:type="dxa"/>
            <w:tcBorders>
              <w:top w:val="nil"/>
              <w:left w:val="nil"/>
              <w:bottom w:val="single" w:sz="4" w:space="0" w:color="000000"/>
              <w:right w:val="single" w:sz="4" w:space="0" w:color="000000"/>
            </w:tcBorders>
            <w:shd w:val="clear" w:color="auto" w:fill="auto"/>
            <w:vAlign w:val="center"/>
            <w:hideMark/>
          </w:tcPr>
          <w:p w14:paraId="162B9C45"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118,45</w:t>
            </w:r>
          </w:p>
        </w:tc>
        <w:tc>
          <w:tcPr>
            <w:tcW w:w="993" w:type="dxa"/>
            <w:tcBorders>
              <w:top w:val="nil"/>
              <w:left w:val="nil"/>
              <w:bottom w:val="single" w:sz="4" w:space="0" w:color="000000"/>
              <w:right w:val="single" w:sz="4" w:space="0" w:color="000000"/>
            </w:tcBorders>
            <w:shd w:val="clear" w:color="auto" w:fill="auto"/>
            <w:vAlign w:val="center"/>
            <w:hideMark/>
          </w:tcPr>
          <w:p w14:paraId="2216D1D1"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91,10</w:t>
            </w:r>
          </w:p>
        </w:tc>
      </w:tr>
      <w:tr w:rsidR="002C5828" w:rsidRPr="00F120D7" w14:paraId="7F57BBAB" w14:textId="77777777" w:rsidTr="00F52211">
        <w:trPr>
          <w:trHeight w:val="66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13420F37"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19</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684E6E1F"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OPĆI PRIHODI I PRIMICI ZA PREDFINANCIRANJE PROJEKATA-PK</w:t>
            </w:r>
          </w:p>
        </w:tc>
        <w:tc>
          <w:tcPr>
            <w:tcW w:w="1418" w:type="dxa"/>
            <w:tcBorders>
              <w:top w:val="nil"/>
              <w:left w:val="nil"/>
              <w:bottom w:val="single" w:sz="4" w:space="0" w:color="000000"/>
              <w:right w:val="single" w:sz="4" w:space="0" w:color="000000"/>
            </w:tcBorders>
            <w:shd w:val="clear" w:color="auto" w:fill="auto"/>
            <w:vAlign w:val="center"/>
            <w:hideMark/>
          </w:tcPr>
          <w:p w14:paraId="23E37D7F"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57.527,87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95229A1"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93.280,00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014040C"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49.893,92</w:t>
            </w:r>
          </w:p>
        </w:tc>
        <w:tc>
          <w:tcPr>
            <w:tcW w:w="993" w:type="dxa"/>
            <w:tcBorders>
              <w:top w:val="nil"/>
              <w:left w:val="nil"/>
              <w:bottom w:val="single" w:sz="4" w:space="0" w:color="000000"/>
              <w:right w:val="single" w:sz="4" w:space="0" w:color="000000"/>
            </w:tcBorders>
            <w:shd w:val="clear" w:color="auto" w:fill="auto"/>
            <w:vAlign w:val="center"/>
            <w:hideMark/>
          </w:tcPr>
          <w:p w14:paraId="6AEBEBD1"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86,73</w:t>
            </w:r>
          </w:p>
        </w:tc>
        <w:tc>
          <w:tcPr>
            <w:tcW w:w="993" w:type="dxa"/>
            <w:tcBorders>
              <w:top w:val="nil"/>
              <w:left w:val="nil"/>
              <w:bottom w:val="single" w:sz="4" w:space="0" w:color="000000"/>
              <w:right w:val="single" w:sz="4" w:space="0" w:color="000000"/>
            </w:tcBorders>
            <w:shd w:val="clear" w:color="auto" w:fill="auto"/>
            <w:vAlign w:val="center"/>
            <w:hideMark/>
          </w:tcPr>
          <w:p w14:paraId="77C29840"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53,49</w:t>
            </w:r>
          </w:p>
        </w:tc>
      </w:tr>
      <w:tr w:rsidR="002C5828" w:rsidRPr="00F120D7" w14:paraId="7A3B3D90"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63C78907"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78E0BFC2"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VLASTITI PRIHODI</w:t>
            </w:r>
          </w:p>
        </w:tc>
        <w:tc>
          <w:tcPr>
            <w:tcW w:w="1418" w:type="dxa"/>
            <w:tcBorders>
              <w:top w:val="nil"/>
              <w:left w:val="nil"/>
              <w:bottom w:val="single" w:sz="4" w:space="0" w:color="000000"/>
              <w:right w:val="single" w:sz="4" w:space="0" w:color="000000"/>
            </w:tcBorders>
            <w:shd w:val="clear" w:color="auto" w:fill="auto"/>
            <w:vAlign w:val="center"/>
            <w:hideMark/>
          </w:tcPr>
          <w:p w14:paraId="61297D18"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0,22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FB0F93C"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13561B69"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0,25</w:t>
            </w:r>
          </w:p>
        </w:tc>
        <w:tc>
          <w:tcPr>
            <w:tcW w:w="993" w:type="dxa"/>
            <w:tcBorders>
              <w:top w:val="nil"/>
              <w:left w:val="nil"/>
              <w:bottom w:val="single" w:sz="4" w:space="0" w:color="000000"/>
              <w:right w:val="single" w:sz="4" w:space="0" w:color="000000"/>
            </w:tcBorders>
            <w:shd w:val="clear" w:color="auto" w:fill="auto"/>
            <w:vAlign w:val="center"/>
            <w:hideMark/>
          </w:tcPr>
          <w:p w14:paraId="69664FDA"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113,64</w:t>
            </w:r>
          </w:p>
        </w:tc>
        <w:tc>
          <w:tcPr>
            <w:tcW w:w="993" w:type="dxa"/>
            <w:tcBorders>
              <w:top w:val="nil"/>
              <w:left w:val="nil"/>
              <w:bottom w:val="single" w:sz="4" w:space="0" w:color="000000"/>
              <w:right w:val="single" w:sz="4" w:space="0" w:color="000000"/>
            </w:tcBorders>
            <w:shd w:val="clear" w:color="auto" w:fill="auto"/>
            <w:vAlign w:val="center"/>
            <w:hideMark/>
          </w:tcPr>
          <w:p w14:paraId="15124DB1"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25,00</w:t>
            </w:r>
          </w:p>
        </w:tc>
      </w:tr>
      <w:tr w:rsidR="002C5828" w:rsidRPr="00F120D7" w14:paraId="69285B47"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4DB5BB57"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4FE0E686"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VLASTITI PRIHODI - PRORAČUNSKI KORISNICI</w:t>
            </w:r>
          </w:p>
        </w:tc>
        <w:tc>
          <w:tcPr>
            <w:tcW w:w="1418" w:type="dxa"/>
            <w:tcBorders>
              <w:top w:val="nil"/>
              <w:left w:val="nil"/>
              <w:bottom w:val="single" w:sz="4" w:space="0" w:color="000000"/>
              <w:right w:val="single" w:sz="4" w:space="0" w:color="000000"/>
            </w:tcBorders>
            <w:shd w:val="clear" w:color="auto" w:fill="auto"/>
            <w:vAlign w:val="center"/>
            <w:hideMark/>
          </w:tcPr>
          <w:p w14:paraId="01F88E6E"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0,22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77CCD15"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49D45E2C"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0,25</w:t>
            </w:r>
          </w:p>
        </w:tc>
        <w:tc>
          <w:tcPr>
            <w:tcW w:w="993" w:type="dxa"/>
            <w:tcBorders>
              <w:top w:val="nil"/>
              <w:left w:val="nil"/>
              <w:bottom w:val="single" w:sz="4" w:space="0" w:color="000000"/>
              <w:right w:val="single" w:sz="4" w:space="0" w:color="000000"/>
            </w:tcBorders>
            <w:shd w:val="clear" w:color="auto" w:fill="auto"/>
            <w:vAlign w:val="center"/>
            <w:hideMark/>
          </w:tcPr>
          <w:p w14:paraId="732D89A9"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113,64</w:t>
            </w:r>
          </w:p>
        </w:tc>
        <w:tc>
          <w:tcPr>
            <w:tcW w:w="993" w:type="dxa"/>
            <w:tcBorders>
              <w:top w:val="nil"/>
              <w:left w:val="nil"/>
              <w:bottom w:val="single" w:sz="4" w:space="0" w:color="000000"/>
              <w:right w:val="single" w:sz="4" w:space="0" w:color="000000"/>
            </w:tcBorders>
            <w:shd w:val="clear" w:color="auto" w:fill="auto"/>
            <w:vAlign w:val="center"/>
            <w:hideMark/>
          </w:tcPr>
          <w:p w14:paraId="350703C5"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25,00</w:t>
            </w:r>
          </w:p>
        </w:tc>
      </w:tr>
      <w:tr w:rsidR="002C5828" w:rsidRPr="00F120D7" w14:paraId="0332E8E4"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4C42B445"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5</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360A901C"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POMOĆI</w:t>
            </w:r>
          </w:p>
        </w:tc>
        <w:tc>
          <w:tcPr>
            <w:tcW w:w="1418" w:type="dxa"/>
            <w:tcBorders>
              <w:top w:val="nil"/>
              <w:left w:val="nil"/>
              <w:bottom w:val="single" w:sz="4" w:space="0" w:color="000000"/>
              <w:right w:val="single" w:sz="4" w:space="0" w:color="000000"/>
            </w:tcBorders>
            <w:shd w:val="clear" w:color="auto" w:fill="auto"/>
            <w:vAlign w:val="center"/>
            <w:hideMark/>
          </w:tcPr>
          <w:p w14:paraId="4E47623B"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423.352,82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3904608"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487.845,00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0DB5727"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492.362,76</w:t>
            </w:r>
          </w:p>
        </w:tc>
        <w:tc>
          <w:tcPr>
            <w:tcW w:w="993" w:type="dxa"/>
            <w:tcBorders>
              <w:top w:val="nil"/>
              <w:left w:val="nil"/>
              <w:bottom w:val="single" w:sz="4" w:space="0" w:color="000000"/>
              <w:right w:val="single" w:sz="4" w:space="0" w:color="000000"/>
            </w:tcBorders>
            <w:shd w:val="clear" w:color="auto" w:fill="auto"/>
            <w:vAlign w:val="center"/>
            <w:hideMark/>
          </w:tcPr>
          <w:p w14:paraId="29AB607D"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116,30</w:t>
            </w:r>
          </w:p>
        </w:tc>
        <w:tc>
          <w:tcPr>
            <w:tcW w:w="993" w:type="dxa"/>
            <w:tcBorders>
              <w:top w:val="nil"/>
              <w:left w:val="nil"/>
              <w:bottom w:val="single" w:sz="4" w:space="0" w:color="000000"/>
              <w:right w:val="single" w:sz="4" w:space="0" w:color="000000"/>
            </w:tcBorders>
            <w:shd w:val="clear" w:color="auto" w:fill="auto"/>
            <w:vAlign w:val="center"/>
            <w:hideMark/>
          </w:tcPr>
          <w:p w14:paraId="2EA175DA"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100,93</w:t>
            </w:r>
          </w:p>
        </w:tc>
      </w:tr>
      <w:tr w:rsidR="002C5828" w:rsidRPr="00F120D7" w14:paraId="7BD33501"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531D2B40"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58</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2111077A"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SREDSTVA EU - PRORAČUNSKI KORISNICI</w:t>
            </w:r>
          </w:p>
        </w:tc>
        <w:tc>
          <w:tcPr>
            <w:tcW w:w="1418" w:type="dxa"/>
            <w:tcBorders>
              <w:top w:val="nil"/>
              <w:left w:val="nil"/>
              <w:bottom w:val="single" w:sz="4" w:space="0" w:color="000000"/>
              <w:right w:val="single" w:sz="4" w:space="0" w:color="000000"/>
            </w:tcBorders>
            <w:shd w:val="clear" w:color="auto" w:fill="auto"/>
            <w:vAlign w:val="center"/>
            <w:hideMark/>
          </w:tcPr>
          <w:p w14:paraId="255899E8"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423.352,82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531510CD"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487.845,00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6A32792A"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492.362,76</w:t>
            </w:r>
          </w:p>
        </w:tc>
        <w:tc>
          <w:tcPr>
            <w:tcW w:w="993" w:type="dxa"/>
            <w:tcBorders>
              <w:top w:val="nil"/>
              <w:left w:val="nil"/>
              <w:bottom w:val="single" w:sz="4" w:space="0" w:color="000000"/>
              <w:right w:val="single" w:sz="4" w:space="0" w:color="000000"/>
            </w:tcBorders>
            <w:shd w:val="clear" w:color="auto" w:fill="auto"/>
            <w:vAlign w:val="center"/>
            <w:hideMark/>
          </w:tcPr>
          <w:p w14:paraId="2D5F214B"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116,30</w:t>
            </w:r>
          </w:p>
        </w:tc>
        <w:tc>
          <w:tcPr>
            <w:tcW w:w="993" w:type="dxa"/>
            <w:tcBorders>
              <w:top w:val="nil"/>
              <w:left w:val="nil"/>
              <w:bottom w:val="single" w:sz="4" w:space="0" w:color="000000"/>
              <w:right w:val="single" w:sz="4" w:space="0" w:color="000000"/>
            </w:tcBorders>
            <w:shd w:val="clear" w:color="auto" w:fill="auto"/>
            <w:vAlign w:val="center"/>
            <w:hideMark/>
          </w:tcPr>
          <w:p w14:paraId="358CF657"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100,93</w:t>
            </w:r>
          </w:p>
        </w:tc>
      </w:tr>
      <w:tr w:rsidR="002C5828" w:rsidRPr="00F120D7" w14:paraId="21F5764B" w14:textId="77777777" w:rsidTr="00F52211">
        <w:trPr>
          <w:trHeight w:val="675"/>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70A5598D"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7</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12696F89"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PRIHODI OD PRODAJE IMOVINE I NAKNADE S NASLOVA OSIGURANJA</w:t>
            </w:r>
          </w:p>
        </w:tc>
        <w:tc>
          <w:tcPr>
            <w:tcW w:w="1418" w:type="dxa"/>
            <w:tcBorders>
              <w:top w:val="nil"/>
              <w:left w:val="nil"/>
              <w:bottom w:val="single" w:sz="4" w:space="0" w:color="000000"/>
              <w:right w:val="single" w:sz="4" w:space="0" w:color="000000"/>
            </w:tcBorders>
            <w:shd w:val="clear" w:color="auto" w:fill="auto"/>
            <w:vAlign w:val="center"/>
            <w:hideMark/>
          </w:tcPr>
          <w:p w14:paraId="71E8913D"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296,90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218D364"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463,00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D724B1E"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1.146,67</w:t>
            </w:r>
          </w:p>
        </w:tc>
        <w:tc>
          <w:tcPr>
            <w:tcW w:w="993" w:type="dxa"/>
            <w:tcBorders>
              <w:top w:val="nil"/>
              <w:left w:val="nil"/>
              <w:bottom w:val="single" w:sz="4" w:space="0" w:color="000000"/>
              <w:right w:val="single" w:sz="4" w:space="0" w:color="000000"/>
            </w:tcBorders>
            <w:shd w:val="clear" w:color="auto" w:fill="auto"/>
            <w:vAlign w:val="center"/>
            <w:hideMark/>
          </w:tcPr>
          <w:p w14:paraId="74B882AF"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386,21</w:t>
            </w:r>
          </w:p>
        </w:tc>
        <w:tc>
          <w:tcPr>
            <w:tcW w:w="993" w:type="dxa"/>
            <w:tcBorders>
              <w:top w:val="nil"/>
              <w:left w:val="nil"/>
              <w:bottom w:val="single" w:sz="4" w:space="0" w:color="000000"/>
              <w:right w:val="single" w:sz="4" w:space="0" w:color="000000"/>
            </w:tcBorders>
            <w:shd w:val="clear" w:color="auto" w:fill="auto"/>
            <w:vAlign w:val="center"/>
            <w:hideMark/>
          </w:tcPr>
          <w:p w14:paraId="657A5AAC"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247,66</w:t>
            </w:r>
          </w:p>
        </w:tc>
      </w:tr>
      <w:tr w:rsidR="002C5828" w:rsidRPr="00F120D7" w14:paraId="20D37195"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60C7CDBF"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6C2D028F"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OD NAKNADE ŠTETA S OSNOVA OSIGURANJA-PK</w:t>
            </w:r>
          </w:p>
        </w:tc>
        <w:tc>
          <w:tcPr>
            <w:tcW w:w="1418" w:type="dxa"/>
            <w:tcBorders>
              <w:top w:val="nil"/>
              <w:left w:val="nil"/>
              <w:bottom w:val="single" w:sz="4" w:space="0" w:color="000000"/>
              <w:right w:val="single" w:sz="4" w:space="0" w:color="000000"/>
            </w:tcBorders>
            <w:shd w:val="clear" w:color="auto" w:fill="auto"/>
            <w:vAlign w:val="center"/>
            <w:hideMark/>
          </w:tcPr>
          <w:p w14:paraId="15C8108D"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296,90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72FBA94"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463,00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3D1592F0"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1.146,67</w:t>
            </w:r>
          </w:p>
        </w:tc>
        <w:tc>
          <w:tcPr>
            <w:tcW w:w="993" w:type="dxa"/>
            <w:tcBorders>
              <w:top w:val="nil"/>
              <w:left w:val="nil"/>
              <w:bottom w:val="single" w:sz="4" w:space="0" w:color="000000"/>
              <w:right w:val="single" w:sz="4" w:space="0" w:color="000000"/>
            </w:tcBorders>
            <w:shd w:val="clear" w:color="auto" w:fill="auto"/>
            <w:vAlign w:val="center"/>
            <w:hideMark/>
          </w:tcPr>
          <w:p w14:paraId="7FB2CC7D"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386,21</w:t>
            </w:r>
          </w:p>
        </w:tc>
        <w:tc>
          <w:tcPr>
            <w:tcW w:w="993" w:type="dxa"/>
            <w:tcBorders>
              <w:top w:val="nil"/>
              <w:left w:val="nil"/>
              <w:bottom w:val="single" w:sz="4" w:space="0" w:color="000000"/>
              <w:right w:val="single" w:sz="4" w:space="0" w:color="000000"/>
            </w:tcBorders>
            <w:shd w:val="clear" w:color="auto" w:fill="auto"/>
            <w:vAlign w:val="center"/>
            <w:hideMark/>
          </w:tcPr>
          <w:p w14:paraId="095BC64F"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247,66</w:t>
            </w:r>
          </w:p>
        </w:tc>
      </w:tr>
      <w:tr w:rsidR="002C5828" w:rsidRPr="00F120D7" w14:paraId="5DF5BAD3" w14:textId="77777777" w:rsidTr="001D0292">
        <w:trPr>
          <w:trHeight w:val="315"/>
          <w:jc w:val="center"/>
        </w:trPr>
        <w:tc>
          <w:tcPr>
            <w:tcW w:w="9493" w:type="dxa"/>
            <w:gridSpan w:val="10"/>
            <w:tcBorders>
              <w:top w:val="single" w:sz="4" w:space="0" w:color="000000"/>
              <w:left w:val="nil"/>
              <w:bottom w:val="nil"/>
              <w:right w:val="nil"/>
            </w:tcBorders>
            <w:shd w:val="clear" w:color="auto" w:fill="auto"/>
            <w:vAlign w:val="center"/>
            <w:hideMark/>
          </w:tcPr>
          <w:p w14:paraId="6045F843" w14:textId="77777777" w:rsidR="007A0463" w:rsidRDefault="007A0463" w:rsidP="005C0B7C">
            <w:pPr>
              <w:spacing w:after="0" w:line="240" w:lineRule="auto"/>
              <w:jc w:val="center"/>
              <w:rPr>
                <w:rFonts w:ascii="Times New Roman" w:eastAsia="Times New Roman" w:hAnsi="Times New Roman" w:cs="Times New Roman"/>
                <w:b/>
                <w:bCs/>
                <w:color w:val="000000"/>
                <w:lang w:eastAsia="hr-HR"/>
              </w:rPr>
            </w:pPr>
          </w:p>
          <w:p w14:paraId="209D32DE" w14:textId="77777777" w:rsidR="007A0463" w:rsidRDefault="007A0463" w:rsidP="005C0B7C">
            <w:pPr>
              <w:spacing w:after="0" w:line="240" w:lineRule="auto"/>
              <w:jc w:val="center"/>
              <w:rPr>
                <w:rFonts w:ascii="Times New Roman" w:eastAsia="Times New Roman" w:hAnsi="Times New Roman" w:cs="Times New Roman"/>
                <w:b/>
                <w:bCs/>
                <w:color w:val="000000"/>
                <w:lang w:eastAsia="hr-HR"/>
              </w:rPr>
            </w:pPr>
          </w:p>
          <w:p w14:paraId="45807092" w14:textId="77777777" w:rsidR="007A0463" w:rsidRDefault="007A0463" w:rsidP="005C0B7C">
            <w:pPr>
              <w:spacing w:after="0" w:line="240" w:lineRule="auto"/>
              <w:jc w:val="center"/>
              <w:rPr>
                <w:rFonts w:ascii="Times New Roman" w:eastAsia="Times New Roman" w:hAnsi="Times New Roman" w:cs="Times New Roman"/>
                <w:b/>
                <w:bCs/>
                <w:color w:val="000000"/>
                <w:lang w:eastAsia="hr-HR"/>
              </w:rPr>
            </w:pPr>
          </w:p>
          <w:p w14:paraId="154030C6" w14:textId="77777777" w:rsidR="007A0463" w:rsidRDefault="007A0463" w:rsidP="005C0B7C">
            <w:pPr>
              <w:spacing w:after="0" w:line="240" w:lineRule="auto"/>
              <w:jc w:val="center"/>
              <w:rPr>
                <w:rFonts w:ascii="Times New Roman" w:eastAsia="Times New Roman" w:hAnsi="Times New Roman" w:cs="Times New Roman"/>
                <w:b/>
                <w:bCs/>
                <w:color w:val="000000"/>
                <w:lang w:eastAsia="hr-HR"/>
              </w:rPr>
            </w:pPr>
          </w:p>
          <w:p w14:paraId="6AB93366" w14:textId="6B6B7A50"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 </w:t>
            </w:r>
          </w:p>
        </w:tc>
      </w:tr>
      <w:tr w:rsidR="002C5828" w:rsidRPr="00F120D7" w14:paraId="1A83B3C1" w14:textId="77777777" w:rsidTr="00F52211">
        <w:trPr>
          <w:trHeight w:val="210"/>
          <w:jc w:val="center"/>
        </w:trPr>
        <w:tc>
          <w:tcPr>
            <w:tcW w:w="478" w:type="dxa"/>
            <w:tcBorders>
              <w:top w:val="nil"/>
              <w:left w:val="nil"/>
              <w:bottom w:val="nil"/>
              <w:right w:val="nil"/>
            </w:tcBorders>
            <w:shd w:val="clear" w:color="auto" w:fill="auto"/>
            <w:noWrap/>
            <w:vAlign w:val="bottom"/>
            <w:hideMark/>
          </w:tcPr>
          <w:p w14:paraId="370D2AA3"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p>
        </w:tc>
        <w:tc>
          <w:tcPr>
            <w:tcW w:w="2494" w:type="dxa"/>
            <w:gridSpan w:val="2"/>
            <w:tcBorders>
              <w:top w:val="nil"/>
              <w:left w:val="nil"/>
              <w:bottom w:val="nil"/>
              <w:right w:val="nil"/>
            </w:tcBorders>
            <w:shd w:val="clear" w:color="auto" w:fill="auto"/>
            <w:noWrap/>
            <w:vAlign w:val="bottom"/>
            <w:hideMark/>
          </w:tcPr>
          <w:p w14:paraId="0F297DF8"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418" w:type="dxa"/>
            <w:tcBorders>
              <w:top w:val="nil"/>
              <w:left w:val="nil"/>
              <w:bottom w:val="nil"/>
              <w:right w:val="nil"/>
            </w:tcBorders>
            <w:shd w:val="clear" w:color="auto" w:fill="auto"/>
            <w:noWrap/>
            <w:vAlign w:val="bottom"/>
            <w:hideMark/>
          </w:tcPr>
          <w:p w14:paraId="45D242E6"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559" w:type="dxa"/>
            <w:gridSpan w:val="2"/>
            <w:tcBorders>
              <w:top w:val="nil"/>
              <w:left w:val="nil"/>
              <w:bottom w:val="nil"/>
              <w:right w:val="nil"/>
            </w:tcBorders>
            <w:shd w:val="clear" w:color="auto" w:fill="auto"/>
            <w:noWrap/>
            <w:vAlign w:val="bottom"/>
            <w:hideMark/>
          </w:tcPr>
          <w:p w14:paraId="2E5D470D"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1558" w:type="dxa"/>
            <w:gridSpan w:val="2"/>
            <w:tcBorders>
              <w:top w:val="nil"/>
              <w:left w:val="nil"/>
              <w:bottom w:val="nil"/>
              <w:right w:val="nil"/>
            </w:tcBorders>
            <w:shd w:val="clear" w:color="auto" w:fill="auto"/>
            <w:noWrap/>
            <w:vAlign w:val="bottom"/>
            <w:hideMark/>
          </w:tcPr>
          <w:p w14:paraId="4B7B7ADD"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5B255284" w14:textId="77777777" w:rsidR="002C5828" w:rsidRPr="00F120D7" w:rsidRDefault="002C5828"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41DB70D0" w14:textId="77777777" w:rsidR="002C5828" w:rsidRPr="00F120D7" w:rsidRDefault="002C5828" w:rsidP="005C0B7C">
            <w:pPr>
              <w:spacing w:after="0" w:line="240" w:lineRule="auto"/>
              <w:rPr>
                <w:rFonts w:ascii="Times New Roman" w:eastAsia="Times New Roman" w:hAnsi="Times New Roman" w:cs="Times New Roman"/>
                <w:lang w:eastAsia="hr-HR"/>
              </w:rPr>
            </w:pPr>
          </w:p>
        </w:tc>
      </w:tr>
      <w:tr w:rsidR="002C5828" w:rsidRPr="00F120D7" w14:paraId="6ADFFB8B" w14:textId="77777777" w:rsidTr="00F52211">
        <w:trPr>
          <w:trHeight w:val="55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4993C4EF"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lastRenderedPageBreak/>
              <w:t>Brojčana oznaka i naziv</w:t>
            </w:r>
          </w:p>
        </w:tc>
        <w:tc>
          <w:tcPr>
            <w:tcW w:w="1418" w:type="dxa"/>
            <w:tcBorders>
              <w:top w:val="single" w:sz="4" w:space="0" w:color="000000"/>
              <w:left w:val="nil"/>
              <w:bottom w:val="single" w:sz="4" w:space="0" w:color="000000"/>
              <w:right w:val="single" w:sz="4" w:space="0" w:color="000000"/>
            </w:tcBorders>
            <w:shd w:val="clear" w:color="000000" w:fill="DCDCDC"/>
            <w:vAlign w:val="center"/>
            <w:hideMark/>
          </w:tcPr>
          <w:p w14:paraId="44F6EC26"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 31.12.2023.</w:t>
            </w:r>
          </w:p>
        </w:tc>
        <w:tc>
          <w:tcPr>
            <w:tcW w:w="1559"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4FCE5A26"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558"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3A6556AC"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Ostvarenje / izvršenje 31.12.2024.</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5CBAC96B"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Indeks </w:t>
            </w:r>
            <w:r w:rsidRPr="00F120D7">
              <w:rPr>
                <w:rFonts w:ascii="Times New Roman" w:eastAsia="Times New Roman" w:hAnsi="Times New Roman" w:cs="Times New Roman"/>
                <w:b/>
                <w:bCs/>
                <w:color w:val="000000"/>
                <w:lang w:eastAsia="hr-HR"/>
              </w:rPr>
              <w:br/>
              <w:t>4 / 2</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04CDEBE9"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 xml:space="preserve"> 4 / 3</w:t>
            </w:r>
          </w:p>
        </w:tc>
      </w:tr>
      <w:tr w:rsidR="002C5828" w:rsidRPr="00F120D7" w14:paraId="640F5536" w14:textId="77777777" w:rsidTr="00F52211">
        <w:trPr>
          <w:trHeight w:val="22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202A7"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418" w:type="dxa"/>
            <w:tcBorders>
              <w:top w:val="nil"/>
              <w:left w:val="nil"/>
              <w:bottom w:val="single" w:sz="4" w:space="0" w:color="000000"/>
              <w:right w:val="single" w:sz="4" w:space="0" w:color="000000"/>
            </w:tcBorders>
            <w:shd w:val="clear" w:color="auto" w:fill="auto"/>
            <w:vAlign w:val="center"/>
            <w:hideMark/>
          </w:tcPr>
          <w:p w14:paraId="06EC7D97"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399AB0D2"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E7E2D25"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4996E1DF"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3" w:type="dxa"/>
            <w:tcBorders>
              <w:top w:val="nil"/>
              <w:left w:val="nil"/>
              <w:bottom w:val="single" w:sz="4" w:space="0" w:color="000000"/>
              <w:right w:val="single" w:sz="4" w:space="0" w:color="000000"/>
            </w:tcBorders>
            <w:shd w:val="clear" w:color="auto" w:fill="auto"/>
            <w:vAlign w:val="center"/>
            <w:hideMark/>
          </w:tcPr>
          <w:p w14:paraId="3C64048C" w14:textId="77777777" w:rsidR="002C5828" w:rsidRPr="00F120D7" w:rsidRDefault="002C5828"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2C5828" w:rsidRPr="00F120D7" w14:paraId="1C45E589"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3B44D71A" w14:textId="77777777" w:rsidR="002C5828" w:rsidRPr="00F120D7" w:rsidRDefault="002C5828"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5AFCDC28" w14:textId="77777777" w:rsidR="002C5828" w:rsidRPr="00F120D7" w:rsidRDefault="002C5828"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UKUPNO RASHODI</w:t>
            </w:r>
          </w:p>
        </w:tc>
        <w:tc>
          <w:tcPr>
            <w:tcW w:w="1418" w:type="dxa"/>
            <w:tcBorders>
              <w:top w:val="nil"/>
              <w:left w:val="nil"/>
              <w:bottom w:val="single" w:sz="4" w:space="0" w:color="000000"/>
              <w:right w:val="single" w:sz="4" w:space="0" w:color="000000"/>
            </w:tcBorders>
            <w:shd w:val="clear" w:color="auto" w:fill="auto"/>
            <w:vAlign w:val="center"/>
            <w:hideMark/>
          </w:tcPr>
          <w:p w14:paraId="3196D0F6"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720.666,94</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1DB2C76"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0455C18"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993" w:type="dxa"/>
            <w:tcBorders>
              <w:top w:val="nil"/>
              <w:left w:val="nil"/>
              <w:bottom w:val="single" w:sz="4" w:space="0" w:color="000000"/>
              <w:right w:val="single" w:sz="4" w:space="0" w:color="000000"/>
            </w:tcBorders>
            <w:shd w:val="clear" w:color="auto" w:fill="auto"/>
            <w:vAlign w:val="center"/>
            <w:hideMark/>
          </w:tcPr>
          <w:p w14:paraId="0FEAEB87"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102,4</w:t>
            </w:r>
          </w:p>
        </w:tc>
        <w:tc>
          <w:tcPr>
            <w:tcW w:w="993" w:type="dxa"/>
            <w:tcBorders>
              <w:top w:val="nil"/>
              <w:left w:val="nil"/>
              <w:bottom w:val="single" w:sz="4" w:space="0" w:color="000000"/>
              <w:right w:val="single" w:sz="4" w:space="0" w:color="000000"/>
            </w:tcBorders>
            <w:shd w:val="clear" w:color="auto" w:fill="auto"/>
            <w:vAlign w:val="center"/>
            <w:hideMark/>
          </w:tcPr>
          <w:p w14:paraId="425A4640"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r>
      <w:tr w:rsidR="002C5828" w:rsidRPr="00F120D7" w14:paraId="316BAC81"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40837BE8"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0F354388"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OPĆI PRIHODI I PRIMICI</w:t>
            </w:r>
          </w:p>
        </w:tc>
        <w:tc>
          <w:tcPr>
            <w:tcW w:w="1418" w:type="dxa"/>
            <w:tcBorders>
              <w:top w:val="nil"/>
              <w:left w:val="nil"/>
              <w:bottom w:val="single" w:sz="4" w:space="0" w:color="000000"/>
              <w:right w:val="single" w:sz="4" w:space="0" w:color="000000"/>
            </w:tcBorders>
            <w:shd w:val="clear" w:color="auto" w:fill="auto"/>
            <w:vAlign w:val="center"/>
            <w:hideMark/>
          </w:tcPr>
          <w:p w14:paraId="096C807E"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297.297,65</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28A0B36"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396.775,00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24DCDB41"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336.666,51</w:t>
            </w:r>
          </w:p>
        </w:tc>
        <w:tc>
          <w:tcPr>
            <w:tcW w:w="993" w:type="dxa"/>
            <w:tcBorders>
              <w:top w:val="nil"/>
              <w:left w:val="nil"/>
              <w:bottom w:val="single" w:sz="4" w:space="0" w:color="000000"/>
              <w:right w:val="single" w:sz="4" w:space="0" w:color="000000"/>
            </w:tcBorders>
            <w:shd w:val="clear" w:color="auto" w:fill="auto"/>
            <w:vAlign w:val="center"/>
            <w:hideMark/>
          </w:tcPr>
          <w:p w14:paraId="47D40EC6"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113,24</w:t>
            </w:r>
          </w:p>
        </w:tc>
        <w:tc>
          <w:tcPr>
            <w:tcW w:w="993" w:type="dxa"/>
            <w:tcBorders>
              <w:top w:val="nil"/>
              <w:left w:val="nil"/>
              <w:bottom w:val="single" w:sz="4" w:space="0" w:color="000000"/>
              <w:right w:val="single" w:sz="4" w:space="0" w:color="000000"/>
            </w:tcBorders>
            <w:shd w:val="clear" w:color="auto" w:fill="auto"/>
            <w:vAlign w:val="center"/>
            <w:hideMark/>
          </w:tcPr>
          <w:p w14:paraId="2D47AAAE"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84,85</w:t>
            </w:r>
          </w:p>
        </w:tc>
      </w:tr>
      <w:tr w:rsidR="002C5828" w:rsidRPr="00F120D7" w14:paraId="10A54EA1"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0AC59BCC"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59F686CC"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OD POREZA ZA REDOVNU DJELATNOST</w:t>
            </w:r>
          </w:p>
        </w:tc>
        <w:tc>
          <w:tcPr>
            <w:tcW w:w="1418" w:type="dxa"/>
            <w:tcBorders>
              <w:top w:val="nil"/>
              <w:left w:val="nil"/>
              <w:bottom w:val="single" w:sz="4" w:space="0" w:color="000000"/>
              <w:right w:val="single" w:sz="4" w:space="0" w:color="000000"/>
            </w:tcBorders>
            <w:shd w:val="clear" w:color="auto" w:fill="auto"/>
            <w:vAlign w:val="center"/>
            <w:hideMark/>
          </w:tcPr>
          <w:p w14:paraId="619E27F5"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239.769,78</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0B6FD8C5"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303.495,00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CDBAD38"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283.900,21</w:t>
            </w:r>
          </w:p>
        </w:tc>
        <w:tc>
          <w:tcPr>
            <w:tcW w:w="993" w:type="dxa"/>
            <w:tcBorders>
              <w:top w:val="nil"/>
              <w:left w:val="nil"/>
              <w:bottom w:val="single" w:sz="4" w:space="0" w:color="000000"/>
              <w:right w:val="single" w:sz="4" w:space="0" w:color="000000"/>
            </w:tcBorders>
            <w:shd w:val="clear" w:color="auto" w:fill="auto"/>
            <w:vAlign w:val="center"/>
            <w:hideMark/>
          </w:tcPr>
          <w:p w14:paraId="72912B43"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118,41</w:t>
            </w:r>
          </w:p>
        </w:tc>
        <w:tc>
          <w:tcPr>
            <w:tcW w:w="993" w:type="dxa"/>
            <w:tcBorders>
              <w:top w:val="nil"/>
              <w:left w:val="nil"/>
              <w:bottom w:val="single" w:sz="4" w:space="0" w:color="000000"/>
              <w:right w:val="single" w:sz="4" w:space="0" w:color="000000"/>
            </w:tcBorders>
            <w:shd w:val="clear" w:color="auto" w:fill="auto"/>
            <w:vAlign w:val="center"/>
            <w:hideMark/>
          </w:tcPr>
          <w:p w14:paraId="46359516"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93,54</w:t>
            </w:r>
          </w:p>
        </w:tc>
      </w:tr>
      <w:tr w:rsidR="002C5828" w:rsidRPr="00F120D7" w14:paraId="2DD6B38F" w14:textId="77777777" w:rsidTr="00F52211">
        <w:trPr>
          <w:trHeight w:val="675"/>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30C61D9A"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19</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3B6A6FBE"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OPĆI PRIHODI I PRIMICI ZA PREDFINANCIRANJE PROJEKATA-PK</w:t>
            </w:r>
          </w:p>
        </w:tc>
        <w:tc>
          <w:tcPr>
            <w:tcW w:w="1418" w:type="dxa"/>
            <w:tcBorders>
              <w:top w:val="nil"/>
              <w:left w:val="nil"/>
              <w:bottom w:val="single" w:sz="4" w:space="0" w:color="000000"/>
              <w:right w:val="single" w:sz="4" w:space="0" w:color="000000"/>
            </w:tcBorders>
            <w:shd w:val="clear" w:color="auto" w:fill="auto"/>
            <w:vAlign w:val="center"/>
            <w:hideMark/>
          </w:tcPr>
          <w:p w14:paraId="7D4D9AD8"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57.527,87</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253A53F8"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93.280,00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49B4228A"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52.766,30</w:t>
            </w:r>
          </w:p>
        </w:tc>
        <w:tc>
          <w:tcPr>
            <w:tcW w:w="993" w:type="dxa"/>
            <w:tcBorders>
              <w:top w:val="nil"/>
              <w:left w:val="nil"/>
              <w:bottom w:val="single" w:sz="4" w:space="0" w:color="000000"/>
              <w:right w:val="single" w:sz="4" w:space="0" w:color="000000"/>
            </w:tcBorders>
            <w:shd w:val="clear" w:color="auto" w:fill="auto"/>
            <w:vAlign w:val="center"/>
            <w:hideMark/>
          </w:tcPr>
          <w:p w14:paraId="1E9DF2FC"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91,72</w:t>
            </w:r>
          </w:p>
        </w:tc>
        <w:tc>
          <w:tcPr>
            <w:tcW w:w="993" w:type="dxa"/>
            <w:tcBorders>
              <w:top w:val="nil"/>
              <w:left w:val="nil"/>
              <w:bottom w:val="single" w:sz="4" w:space="0" w:color="000000"/>
              <w:right w:val="single" w:sz="4" w:space="0" w:color="000000"/>
            </w:tcBorders>
            <w:shd w:val="clear" w:color="auto" w:fill="auto"/>
            <w:vAlign w:val="center"/>
            <w:hideMark/>
          </w:tcPr>
          <w:p w14:paraId="2C7F61C6"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56,57</w:t>
            </w:r>
          </w:p>
        </w:tc>
      </w:tr>
      <w:tr w:rsidR="002C5828" w:rsidRPr="00F120D7" w14:paraId="3644585D"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20B34B7E"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1963F2BF"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VLASTITI PRIHODI</w:t>
            </w:r>
          </w:p>
        </w:tc>
        <w:tc>
          <w:tcPr>
            <w:tcW w:w="1418" w:type="dxa"/>
            <w:tcBorders>
              <w:top w:val="nil"/>
              <w:left w:val="nil"/>
              <w:bottom w:val="single" w:sz="4" w:space="0" w:color="000000"/>
              <w:right w:val="single" w:sz="4" w:space="0" w:color="000000"/>
            </w:tcBorders>
            <w:shd w:val="clear" w:color="auto" w:fill="auto"/>
            <w:vAlign w:val="center"/>
            <w:hideMark/>
          </w:tcPr>
          <w:p w14:paraId="2A64584A"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69BCC9F"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0205E361"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36F0BE21"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4CBAD32E"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r>
      <w:tr w:rsidR="002C5828" w:rsidRPr="00F120D7" w14:paraId="2E4AE097"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76FEBAA7"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254B94D3"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VLASTITI PRIHODI - PRORAČUNSKI KORISNICI</w:t>
            </w:r>
          </w:p>
        </w:tc>
        <w:tc>
          <w:tcPr>
            <w:tcW w:w="1418" w:type="dxa"/>
            <w:tcBorders>
              <w:top w:val="nil"/>
              <w:left w:val="nil"/>
              <w:bottom w:val="single" w:sz="4" w:space="0" w:color="000000"/>
              <w:right w:val="single" w:sz="4" w:space="0" w:color="000000"/>
            </w:tcBorders>
            <w:shd w:val="clear" w:color="auto" w:fill="auto"/>
            <w:vAlign w:val="center"/>
            <w:hideMark/>
          </w:tcPr>
          <w:p w14:paraId="5F993BBE"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495C0BE"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500FEEE5"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0E4CB809"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303CF9E0"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r>
      <w:tr w:rsidR="002C5828" w:rsidRPr="00F120D7" w14:paraId="54E3633E"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0996CF02"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5</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79904482"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POMOĆI</w:t>
            </w:r>
          </w:p>
        </w:tc>
        <w:tc>
          <w:tcPr>
            <w:tcW w:w="1418" w:type="dxa"/>
            <w:tcBorders>
              <w:top w:val="nil"/>
              <w:left w:val="nil"/>
              <w:bottom w:val="single" w:sz="4" w:space="0" w:color="000000"/>
              <w:right w:val="single" w:sz="4" w:space="0" w:color="000000"/>
            </w:tcBorders>
            <w:shd w:val="clear" w:color="auto" w:fill="auto"/>
            <w:vAlign w:val="center"/>
            <w:hideMark/>
          </w:tcPr>
          <w:p w14:paraId="2EA125B1"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423.369,29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72FB184"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427.515,00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BBA1A52"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400.551,38</w:t>
            </w:r>
          </w:p>
        </w:tc>
        <w:tc>
          <w:tcPr>
            <w:tcW w:w="993" w:type="dxa"/>
            <w:tcBorders>
              <w:top w:val="nil"/>
              <w:left w:val="nil"/>
              <w:bottom w:val="single" w:sz="4" w:space="0" w:color="000000"/>
              <w:right w:val="single" w:sz="4" w:space="0" w:color="000000"/>
            </w:tcBorders>
            <w:shd w:val="clear" w:color="auto" w:fill="auto"/>
            <w:vAlign w:val="center"/>
            <w:hideMark/>
          </w:tcPr>
          <w:p w14:paraId="2D90C848"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94,61</w:t>
            </w:r>
          </w:p>
        </w:tc>
        <w:tc>
          <w:tcPr>
            <w:tcW w:w="993" w:type="dxa"/>
            <w:tcBorders>
              <w:top w:val="nil"/>
              <w:left w:val="nil"/>
              <w:bottom w:val="single" w:sz="4" w:space="0" w:color="000000"/>
              <w:right w:val="single" w:sz="4" w:space="0" w:color="000000"/>
            </w:tcBorders>
            <w:shd w:val="clear" w:color="auto" w:fill="auto"/>
            <w:vAlign w:val="center"/>
            <w:hideMark/>
          </w:tcPr>
          <w:p w14:paraId="26603BD0"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93,69</w:t>
            </w:r>
          </w:p>
        </w:tc>
      </w:tr>
      <w:tr w:rsidR="002C5828" w:rsidRPr="00F120D7" w14:paraId="1F772DCE"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326322B5"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58</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203743C9"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SREDSTVA EU - PRORAČUNSKI KORISNICI</w:t>
            </w:r>
          </w:p>
        </w:tc>
        <w:tc>
          <w:tcPr>
            <w:tcW w:w="1418" w:type="dxa"/>
            <w:tcBorders>
              <w:top w:val="nil"/>
              <w:left w:val="nil"/>
              <w:bottom w:val="single" w:sz="4" w:space="0" w:color="000000"/>
              <w:right w:val="single" w:sz="4" w:space="0" w:color="000000"/>
            </w:tcBorders>
            <w:shd w:val="clear" w:color="auto" w:fill="auto"/>
            <w:vAlign w:val="center"/>
            <w:hideMark/>
          </w:tcPr>
          <w:p w14:paraId="03303B2F"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423.369,29</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6C5B2049"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427.515,00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EF282C9"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400.551,38</w:t>
            </w:r>
          </w:p>
        </w:tc>
        <w:tc>
          <w:tcPr>
            <w:tcW w:w="993" w:type="dxa"/>
            <w:tcBorders>
              <w:top w:val="nil"/>
              <w:left w:val="nil"/>
              <w:bottom w:val="single" w:sz="4" w:space="0" w:color="000000"/>
              <w:right w:val="single" w:sz="4" w:space="0" w:color="000000"/>
            </w:tcBorders>
            <w:shd w:val="clear" w:color="auto" w:fill="auto"/>
            <w:vAlign w:val="center"/>
            <w:hideMark/>
          </w:tcPr>
          <w:p w14:paraId="389049F0"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94,61</w:t>
            </w:r>
          </w:p>
        </w:tc>
        <w:tc>
          <w:tcPr>
            <w:tcW w:w="993" w:type="dxa"/>
            <w:tcBorders>
              <w:top w:val="nil"/>
              <w:left w:val="nil"/>
              <w:bottom w:val="single" w:sz="4" w:space="0" w:color="000000"/>
              <w:right w:val="single" w:sz="4" w:space="0" w:color="000000"/>
            </w:tcBorders>
            <w:shd w:val="clear" w:color="auto" w:fill="auto"/>
            <w:vAlign w:val="center"/>
            <w:hideMark/>
          </w:tcPr>
          <w:p w14:paraId="12714BD7"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93,69</w:t>
            </w:r>
          </w:p>
        </w:tc>
      </w:tr>
      <w:tr w:rsidR="002C5828" w:rsidRPr="00F120D7" w14:paraId="229B2734" w14:textId="77777777" w:rsidTr="00F52211">
        <w:trPr>
          <w:trHeight w:val="66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3A25023E"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7</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38D3C629" w14:textId="77777777" w:rsidR="002C5828" w:rsidRPr="00F120D7" w:rsidRDefault="002C5828"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PRIHODI OD PRODAJE IMOVINE I NAKNADE S NASLOVA OSIGURANJA</w:t>
            </w:r>
          </w:p>
        </w:tc>
        <w:tc>
          <w:tcPr>
            <w:tcW w:w="1418" w:type="dxa"/>
            <w:tcBorders>
              <w:top w:val="nil"/>
              <w:left w:val="nil"/>
              <w:bottom w:val="single" w:sz="4" w:space="0" w:color="000000"/>
              <w:right w:val="single" w:sz="4" w:space="0" w:color="000000"/>
            </w:tcBorders>
            <w:shd w:val="clear" w:color="auto" w:fill="auto"/>
            <w:vAlign w:val="center"/>
            <w:hideMark/>
          </w:tcPr>
          <w:p w14:paraId="2F65F13B"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74E43235"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760,00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16709EC"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739,28</w:t>
            </w:r>
          </w:p>
        </w:tc>
        <w:tc>
          <w:tcPr>
            <w:tcW w:w="993" w:type="dxa"/>
            <w:tcBorders>
              <w:top w:val="nil"/>
              <w:left w:val="nil"/>
              <w:bottom w:val="single" w:sz="4" w:space="0" w:color="000000"/>
              <w:right w:val="single" w:sz="4" w:space="0" w:color="000000"/>
            </w:tcBorders>
            <w:shd w:val="clear" w:color="auto" w:fill="auto"/>
            <w:vAlign w:val="center"/>
            <w:hideMark/>
          </w:tcPr>
          <w:p w14:paraId="18F48784"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77FF9244" w14:textId="77777777" w:rsidR="002C5828" w:rsidRPr="00F120D7" w:rsidRDefault="002C5828"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97,27</w:t>
            </w:r>
          </w:p>
        </w:tc>
      </w:tr>
      <w:tr w:rsidR="002C5828" w:rsidRPr="00F120D7" w14:paraId="369C3B3E" w14:textId="77777777" w:rsidTr="00F52211">
        <w:trPr>
          <w:trHeight w:val="510"/>
          <w:jc w:val="center"/>
        </w:trPr>
        <w:tc>
          <w:tcPr>
            <w:tcW w:w="478" w:type="dxa"/>
            <w:tcBorders>
              <w:top w:val="nil"/>
              <w:left w:val="single" w:sz="4" w:space="0" w:color="000000"/>
              <w:bottom w:val="single" w:sz="4" w:space="0" w:color="000000"/>
              <w:right w:val="single" w:sz="4" w:space="0" w:color="000000"/>
            </w:tcBorders>
            <w:shd w:val="clear" w:color="auto" w:fill="auto"/>
            <w:vAlign w:val="center"/>
            <w:hideMark/>
          </w:tcPr>
          <w:p w14:paraId="353BA9F7"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w:t>
            </w:r>
          </w:p>
        </w:tc>
        <w:tc>
          <w:tcPr>
            <w:tcW w:w="2494" w:type="dxa"/>
            <w:gridSpan w:val="2"/>
            <w:tcBorders>
              <w:top w:val="nil"/>
              <w:left w:val="nil"/>
              <w:bottom w:val="single" w:sz="4" w:space="0" w:color="000000"/>
              <w:right w:val="single" w:sz="4" w:space="0" w:color="000000"/>
            </w:tcBorders>
            <w:shd w:val="clear" w:color="auto" w:fill="auto"/>
            <w:vAlign w:val="center"/>
            <w:hideMark/>
          </w:tcPr>
          <w:p w14:paraId="4CF44BC9" w14:textId="77777777" w:rsidR="002C5828" w:rsidRPr="00F120D7" w:rsidRDefault="002C5828" w:rsidP="005C0B7C">
            <w:pPr>
              <w:spacing w:after="0" w:line="240" w:lineRule="auto"/>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PRIHODI OD NAKNADE ŠTETA S OSNOVA OSIGURANJA-PK</w:t>
            </w:r>
          </w:p>
        </w:tc>
        <w:tc>
          <w:tcPr>
            <w:tcW w:w="1418" w:type="dxa"/>
            <w:tcBorders>
              <w:top w:val="nil"/>
              <w:left w:val="nil"/>
              <w:bottom w:val="single" w:sz="4" w:space="0" w:color="000000"/>
              <w:right w:val="single" w:sz="4" w:space="0" w:color="000000"/>
            </w:tcBorders>
            <w:shd w:val="clear" w:color="auto" w:fill="auto"/>
            <w:vAlign w:val="center"/>
            <w:hideMark/>
          </w:tcPr>
          <w:p w14:paraId="530C3CCE"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14:paraId="17857C10"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760,00</w:t>
            </w:r>
          </w:p>
        </w:tc>
        <w:tc>
          <w:tcPr>
            <w:tcW w:w="1558" w:type="dxa"/>
            <w:gridSpan w:val="2"/>
            <w:tcBorders>
              <w:top w:val="nil"/>
              <w:left w:val="nil"/>
              <w:bottom w:val="single" w:sz="4" w:space="0" w:color="000000"/>
              <w:right w:val="single" w:sz="4" w:space="0" w:color="000000"/>
            </w:tcBorders>
            <w:shd w:val="clear" w:color="auto" w:fill="auto"/>
            <w:vAlign w:val="center"/>
            <w:hideMark/>
          </w:tcPr>
          <w:p w14:paraId="76F52164"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739,28</w:t>
            </w:r>
          </w:p>
        </w:tc>
        <w:tc>
          <w:tcPr>
            <w:tcW w:w="993" w:type="dxa"/>
            <w:tcBorders>
              <w:top w:val="nil"/>
              <w:left w:val="nil"/>
              <w:bottom w:val="single" w:sz="4" w:space="0" w:color="000000"/>
              <w:right w:val="single" w:sz="4" w:space="0" w:color="000000"/>
            </w:tcBorders>
            <w:shd w:val="clear" w:color="auto" w:fill="auto"/>
            <w:vAlign w:val="center"/>
            <w:hideMark/>
          </w:tcPr>
          <w:p w14:paraId="350EE048" w14:textId="77777777" w:rsidR="002C5828" w:rsidRPr="00F120D7" w:rsidRDefault="002C5828"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16BEF3D0" w14:textId="77777777" w:rsidR="002C5828" w:rsidRPr="00F120D7" w:rsidRDefault="002C5828" w:rsidP="005C0B7C">
            <w:pPr>
              <w:spacing w:after="0" w:line="240" w:lineRule="auto"/>
              <w:jc w:val="right"/>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97,27</w:t>
            </w:r>
          </w:p>
        </w:tc>
      </w:tr>
      <w:tr w:rsidR="007F234E" w:rsidRPr="00F120D7" w14:paraId="76514F13" w14:textId="77777777" w:rsidTr="001D0292">
        <w:trPr>
          <w:trHeight w:val="300"/>
          <w:jc w:val="center"/>
        </w:trPr>
        <w:tc>
          <w:tcPr>
            <w:tcW w:w="9493" w:type="dxa"/>
            <w:gridSpan w:val="10"/>
            <w:tcBorders>
              <w:top w:val="nil"/>
              <w:left w:val="nil"/>
              <w:bottom w:val="nil"/>
              <w:right w:val="nil"/>
            </w:tcBorders>
            <w:shd w:val="clear" w:color="auto" w:fill="auto"/>
            <w:hideMark/>
          </w:tcPr>
          <w:p w14:paraId="3F89542F" w14:textId="77777777" w:rsidR="001D0292" w:rsidRPr="00F120D7" w:rsidRDefault="001D0292" w:rsidP="001D0292">
            <w:pPr>
              <w:spacing w:after="0" w:line="240" w:lineRule="auto"/>
              <w:ind w:right="1411"/>
              <w:rPr>
                <w:rFonts w:ascii="Times New Roman" w:eastAsia="Times New Roman" w:hAnsi="Times New Roman" w:cs="Times New Roman"/>
                <w:b/>
                <w:bCs/>
                <w:color w:val="000000"/>
                <w:lang w:eastAsia="hr-HR"/>
              </w:rPr>
            </w:pPr>
          </w:p>
          <w:p w14:paraId="163B26EF" w14:textId="2B4E7073" w:rsidR="007F234E" w:rsidRPr="00F120D7" w:rsidRDefault="007F234E" w:rsidP="001D0292">
            <w:pPr>
              <w:spacing w:after="0" w:line="240" w:lineRule="auto"/>
              <w:ind w:right="-102"/>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1.2.3. IZVJEŠTAJ O RASHODIMA PREMA FUNKCIJSKOJ </w:t>
            </w:r>
            <w:r w:rsidR="001D0292" w:rsidRPr="00F120D7">
              <w:rPr>
                <w:rFonts w:ascii="Times New Roman" w:eastAsia="Times New Roman" w:hAnsi="Times New Roman" w:cs="Times New Roman"/>
                <w:b/>
                <w:bCs/>
                <w:color w:val="000000"/>
                <w:lang w:eastAsia="hr-HR"/>
              </w:rPr>
              <w:t>KL</w:t>
            </w:r>
            <w:r w:rsidRPr="00F120D7">
              <w:rPr>
                <w:rFonts w:ascii="Times New Roman" w:eastAsia="Times New Roman" w:hAnsi="Times New Roman" w:cs="Times New Roman"/>
                <w:b/>
                <w:bCs/>
                <w:color w:val="000000"/>
                <w:lang w:eastAsia="hr-HR"/>
              </w:rPr>
              <w:t>ASIFIKACIJI</w:t>
            </w:r>
          </w:p>
        </w:tc>
      </w:tr>
      <w:tr w:rsidR="007F234E" w:rsidRPr="00F120D7" w14:paraId="4F45E802" w14:textId="77777777" w:rsidTr="00F52211">
        <w:trPr>
          <w:trHeight w:val="255"/>
          <w:jc w:val="center"/>
        </w:trPr>
        <w:tc>
          <w:tcPr>
            <w:tcW w:w="2972" w:type="dxa"/>
            <w:gridSpan w:val="3"/>
            <w:tcBorders>
              <w:top w:val="nil"/>
              <w:left w:val="nil"/>
              <w:bottom w:val="nil"/>
              <w:right w:val="nil"/>
            </w:tcBorders>
            <w:shd w:val="clear" w:color="auto" w:fill="auto"/>
            <w:noWrap/>
            <w:vAlign w:val="bottom"/>
            <w:hideMark/>
          </w:tcPr>
          <w:p w14:paraId="28538B35"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p>
        </w:tc>
        <w:tc>
          <w:tcPr>
            <w:tcW w:w="1418" w:type="dxa"/>
            <w:tcBorders>
              <w:top w:val="nil"/>
              <w:left w:val="nil"/>
              <w:bottom w:val="nil"/>
              <w:right w:val="nil"/>
            </w:tcBorders>
            <w:shd w:val="clear" w:color="auto" w:fill="auto"/>
            <w:noWrap/>
            <w:vAlign w:val="bottom"/>
            <w:hideMark/>
          </w:tcPr>
          <w:p w14:paraId="28103B1C" w14:textId="77777777" w:rsidR="007F234E" w:rsidRPr="00F120D7" w:rsidRDefault="007F234E" w:rsidP="005C0B7C">
            <w:pPr>
              <w:spacing w:after="0" w:line="240" w:lineRule="auto"/>
              <w:rPr>
                <w:rFonts w:ascii="Times New Roman" w:eastAsia="Times New Roman" w:hAnsi="Times New Roman" w:cs="Times New Roman"/>
                <w:lang w:eastAsia="hr-HR"/>
              </w:rPr>
            </w:pPr>
          </w:p>
        </w:tc>
        <w:tc>
          <w:tcPr>
            <w:tcW w:w="1413" w:type="dxa"/>
            <w:tcBorders>
              <w:top w:val="nil"/>
              <w:left w:val="nil"/>
              <w:bottom w:val="nil"/>
              <w:right w:val="nil"/>
            </w:tcBorders>
            <w:shd w:val="clear" w:color="auto" w:fill="auto"/>
            <w:noWrap/>
            <w:vAlign w:val="bottom"/>
            <w:hideMark/>
          </w:tcPr>
          <w:p w14:paraId="11B86642" w14:textId="77777777" w:rsidR="007F234E" w:rsidRPr="00F120D7" w:rsidRDefault="007F234E" w:rsidP="005C0B7C">
            <w:pPr>
              <w:spacing w:after="0" w:line="240" w:lineRule="auto"/>
              <w:rPr>
                <w:rFonts w:ascii="Times New Roman" w:eastAsia="Times New Roman" w:hAnsi="Times New Roman" w:cs="Times New Roman"/>
                <w:lang w:eastAsia="hr-HR"/>
              </w:rPr>
            </w:pPr>
          </w:p>
        </w:tc>
        <w:tc>
          <w:tcPr>
            <w:tcW w:w="1697" w:type="dxa"/>
            <w:gridSpan w:val="2"/>
            <w:tcBorders>
              <w:top w:val="nil"/>
              <w:left w:val="nil"/>
              <w:bottom w:val="nil"/>
              <w:right w:val="nil"/>
            </w:tcBorders>
            <w:shd w:val="clear" w:color="auto" w:fill="auto"/>
            <w:noWrap/>
            <w:vAlign w:val="bottom"/>
            <w:hideMark/>
          </w:tcPr>
          <w:p w14:paraId="6A37B795" w14:textId="77777777" w:rsidR="007F234E" w:rsidRPr="00F120D7" w:rsidRDefault="007F234E" w:rsidP="005C0B7C">
            <w:pPr>
              <w:spacing w:after="0" w:line="240" w:lineRule="auto"/>
              <w:rPr>
                <w:rFonts w:ascii="Times New Roman" w:eastAsia="Times New Roman" w:hAnsi="Times New Roman" w:cs="Times New Roman"/>
                <w:lang w:eastAsia="hr-HR"/>
              </w:rPr>
            </w:pPr>
          </w:p>
        </w:tc>
        <w:tc>
          <w:tcPr>
            <w:tcW w:w="1000" w:type="dxa"/>
            <w:gridSpan w:val="2"/>
            <w:tcBorders>
              <w:top w:val="nil"/>
              <w:left w:val="nil"/>
              <w:bottom w:val="nil"/>
              <w:right w:val="nil"/>
            </w:tcBorders>
            <w:shd w:val="clear" w:color="auto" w:fill="auto"/>
            <w:noWrap/>
            <w:vAlign w:val="bottom"/>
            <w:hideMark/>
          </w:tcPr>
          <w:p w14:paraId="768AC583" w14:textId="77777777" w:rsidR="007F234E" w:rsidRPr="00F120D7" w:rsidRDefault="007F234E" w:rsidP="005C0B7C">
            <w:pPr>
              <w:spacing w:after="0" w:line="240" w:lineRule="auto"/>
              <w:rPr>
                <w:rFonts w:ascii="Times New Roman" w:eastAsia="Times New Roman" w:hAnsi="Times New Roman" w:cs="Times New Roman"/>
                <w:lang w:eastAsia="hr-HR"/>
              </w:rPr>
            </w:pPr>
          </w:p>
        </w:tc>
        <w:tc>
          <w:tcPr>
            <w:tcW w:w="993" w:type="dxa"/>
            <w:tcBorders>
              <w:top w:val="nil"/>
              <w:left w:val="nil"/>
              <w:bottom w:val="nil"/>
              <w:right w:val="nil"/>
            </w:tcBorders>
            <w:shd w:val="clear" w:color="auto" w:fill="auto"/>
            <w:noWrap/>
            <w:vAlign w:val="bottom"/>
            <w:hideMark/>
          </w:tcPr>
          <w:p w14:paraId="44C8327E" w14:textId="77777777" w:rsidR="007F234E" w:rsidRPr="00F120D7" w:rsidRDefault="007F234E" w:rsidP="005C0B7C">
            <w:pPr>
              <w:spacing w:after="0" w:line="240" w:lineRule="auto"/>
              <w:rPr>
                <w:rFonts w:ascii="Times New Roman" w:eastAsia="Times New Roman" w:hAnsi="Times New Roman" w:cs="Times New Roman"/>
                <w:lang w:eastAsia="hr-HR"/>
              </w:rPr>
            </w:pPr>
          </w:p>
        </w:tc>
      </w:tr>
      <w:tr w:rsidR="007F234E" w:rsidRPr="00F120D7" w14:paraId="41FD13D3" w14:textId="77777777" w:rsidTr="00F52211">
        <w:trPr>
          <w:trHeight w:val="645"/>
          <w:jc w:val="center"/>
        </w:trPr>
        <w:tc>
          <w:tcPr>
            <w:tcW w:w="297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47E28592"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418" w:type="dxa"/>
            <w:tcBorders>
              <w:top w:val="single" w:sz="4" w:space="0" w:color="000000"/>
              <w:left w:val="nil"/>
              <w:bottom w:val="single" w:sz="4" w:space="0" w:color="000000"/>
              <w:right w:val="single" w:sz="4" w:space="0" w:color="000000"/>
            </w:tcBorders>
            <w:shd w:val="clear" w:color="000000" w:fill="DCDCDC"/>
            <w:vAlign w:val="center"/>
            <w:hideMark/>
          </w:tcPr>
          <w:p w14:paraId="582AFAA5"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Izvršenje </w:t>
            </w:r>
            <w:r w:rsidRPr="00F120D7">
              <w:rPr>
                <w:rFonts w:ascii="Times New Roman" w:eastAsia="Times New Roman" w:hAnsi="Times New Roman" w:cs="Times New Roman"/>
                <w:b/>
                <w:bCs/>
                <w:color w:val="000000"/>
                <w:lang w:eastAsia="hr-HR"/>
              </w:rPr>
              <w:br/>
              <w:t>31.12.2023.</w:t>
            </w:r>
          </w:p>
        </w:tc>
        <w:tc>
          <w:tcPr>
            <w:tcW w:w="1413" w:type="dxa"/>
            <w:tcBorders>
              <w:top w:val="single" w:sz="4" w:space="0" w:color="000000"/>
              <w:left w:val="nil"/>
              <w:bottom w:val="single" w:sz="4" w:space="0" w:color="000000"/>
              <w:right w:val="single" w:sz="4" w:space="0" w:color="000000"/>
            </w:tcBorders>
            <w:shd w:val="clear" w:color="000000" w:fill="DCDCDC"/>
            <w:vAlign w:val="center"/>
            <w:hideMark/>
          </w:tcPr>
          <w:p w14:paraId="03DE6629"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1697"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0601DAAF"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Izvršenje 31.12.2024.</w:t>
            </w:r>
          </w:p>
        </w:tc>
        <w:tc>
          <w:tcPr>
            <w:tcW w:w="1000" w:type="dxa"/>
            <w:gridSpan w:val="2"/>
            <w:tcBorders>
              <w:top w:val="single" w:sz="4" w:space="0" w:color="000000"/>
              <w:left w:val="nil"/>
              <w:bottom w:val="single" w:sz="4" w:space="0" w:color="000000"/>
              <w:right w:val="single" w:sz="4" w:space="0" w:color="000000"/>
            </w:tcBorders>
            <w:shd w:val="clear" w:color="000000" w:fill="DCDCDC"/>
            <w:vAlign w:val="center"/>
            <w:hideMark/>
          </w:tcPr>
          <w:p w14:paraId="102F305D"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4 / 2</w:t>
            </w:r>
          </w:p>
        </w:tc>
        <w:tc>
          <w:tcPr>
            <w:tcW w:w="993" w:type="dxa"/>
            <w:tcBorders>
              <w:top w:val="single" w:sz="4" w:space="0" w:color="000000"/>
              <w:left w:val="nil"/>
              <w:bottom w:val="single" w:sz="4" w:space="0" w:color="000000"/>
              <w:right w:val="single" w:sz="4" w:space="0" w:color="000000"/>
            </w:tcBorders>
            <w:shd w:val="clear" w:color="000000" w:fill="DCDCDC"/>
            <w:vAlign w:val="center"/>
            <w:hideMark/>
          </w:tcPr>
          <w:p w14:paraId="7D5F0984"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Indeks</w:t>
            </w:r>
            <w:r w:rsidRPr="00F120D7">
              <w:rPr>
                <w:rFonts w:ascii="Times New Roman" w:eastAsia="Times New Roman" w:hAnsi="Times New Roman" w:cs="Times New Roman"/>
                <w:b/>
                <w:bCs/>
                <w:color w:val="000000"/>
                <w:lang w:eastAsia="hr-HR"/>
              </w:rPr>
              <w:br/>
              <w:t>4 / 3</w:t>
            </w:r>
          </w:p>
        </w:tc>
      </w:tr>
      <w:tr w:rsidR="007F234E" w:rsidRPr="00F120D7" w14:paraId="6F34B7D7" w14:textId="77777777" w:rsidTr="00F52211">
        <w:trPr>
          <w:trHeight w:val="225"/>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24EE5DB2"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418" w:type="dxa"/>
            <w:tcBorders>
              <w:top w:val="nil"/>
              <w:left w:val="nil"/>
              <w:bottom w:val="single" w:sz="4" w:space="0" w:color="000000"/>
              <w:right w:val="single" w:sz="4" w:space="0" w:color="000000"/>
            </w:tcBorders>
            <w:shd w:val="clear" w:color="auto" w:fill="auto"/>
            <w:vAlign w:val="center"/>
            <w:hideMark/>
          </w:tcPr>
          <w:p w14:paraId="678D398C"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1413" w:type="dxa"/>
            <w:tcBorders>
              <w:top w:val="nil"/>
              <w:left w:val="nil"/>
              <w:bottom w:val="single" w:sz="4" w:space="0" w:color="000000"/>
              <w:right w:val="single" w:sz="4" w:space="0" w:color="000000"/>
            </w:tcBorders>
            <w:shd w:val="clear" w:color="auto" w:fill="auto"/>
            <w:vAlign w:val="center"/>
            <w:hideMark/>
          </w:tcPr>
          <w:p w14:paraId="2FE59F6E"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1697" w:type="dxa"/>
            <w:gridSpan w:val="2"/>
            <w:tcBorders>
              <w:top w:val="nil"/>
              <w:left w:val="nil"/>
              <w:bottom w:val="single" w:sz="4" w:space="0" w:color="000000"/>
              <w:right w:val="single" w:sz="4" w:space="0" w:color="000000"/>
            </w:tcBorders>
            <w:shd w:val="clear" w:color="auto" w:fill="auto"/>
            <w:vAlign w:val="center"/>
            <w:hideMark/>
          </w:tcPr>
          <w:p w14:paraId="17220433"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0F07C5B6"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w:t>
            </w:r>
          </w:p>
        </w:tc>
        <w:tc>
          <w:tcPr>
            <w:tcW w:w="993" w:type="dxa"/>
            <w:tcBorders>
              <w:top w:val="nil"/>
              <w:left w:val="nil"/>
              <w:bottom w:val="single" w:sz="4" w:space="0" w:color="000000"/>
              <w:right w:val="single" w:sz="4" w:space="0" w:color="000000"/>
            </w:tcBorders>
            <w:shd w:val="clear" w:color="auto" w:fill="auto"/>
            <w:vAlign w:val="center"/>
            <w:hideMark/>
          </w:tcPr>
          <w:p w14:paraId="38389EE6" w14:textId="77777777" w:rsidR="007F234E" w:rsidRPr="00F120D7" w:rsidRDefault="007F234E"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6</w:t>
            </w:r>
          </w:p>
        </w:tc>
      </w:tr>
      <w:tr w:rsidR="007F234E" w:rsidRPr="00F120D7" w14:paraId="665211A2" w14:textId="77777777" w:rsidTr="00F52211">
        <w:trPr>
          <w:trHeight w:val="360"/>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547DAE96" w14:textId="77777777" w:rsidR="007F234E" w:rsidRPr="00F120D7" w:rsidRDefault="007F234E"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UKUPNO RASHODI</w:t>
            </w:r>
          </w:p>
        </w:tc>
        <w:tc>
          <w:tcPr>
            <w:tcW w:w="1418" w:type="dxa"/>
            <w:tcBorders>
              <w:top w:val="nil"/>
              <w:left w:val="nil"/>
              <w:bottom w:val="single" w:sz="4" w:space="0" w:color="000000"/>
              <w:right w:val="single" w:sz="4" w:space="0" w:color="000000"/>
            </w:tcBorders>
            <w:shd w:val="clear" w:color="auto" w:fill="auto"/>
            <w:vAlign w:val="center"/>
            <w:hideMark/>
          </w:tcPr>
          <w:p w14:paraId="749F9784"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720.666,94</w:t>
            </w:r>
          </w:p>
        </w:tc>
        <w:tc>
          <w:tcPr>
            <w:tcW w:w="1413" w:type="dxa"/>
            <w:tcBorders>
              <w:top w:val="nil"/>
              <w:left w:val="nil"/>
              <w:bottom w:val="single" w:sz="4" w:space="0" w:color="000000"/>
              <w:right w:val="single" w:sz="4" w:space="0" w:color="000000"/>
            </w:tcBorders>
            <w:shd w:val="clear" w:color="auto" w:fill="auto"/>
            <w:vAlign w:val="center"/>
            <w:hideMark/>
          </w:tcPr>
          <w:p w14:paraId="298499CB"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1697" w:type="dxa"/>
            <w:gridSpan w:val="2"/>
            <w:tcBorders>
              <w:top w:val="nil"/>
              <w:left w:val="nil"/>
              <w:bottom w:val="single" w:sz="4" w:space="0" w:color="000000"/>
              <w:right w:val="single" w:sz="4" w:space="0" w:color="000000"/>
            </w:tcBorders>
            <w:shd w:val="clear" w:color="auto" w:fill="auto"/>
            <w:vAlign w:val="center"/>
            <w:hideMark/>
          </w:tcPr>
          <w:p w14:paraId="5F0CB784"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05E93AB1"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102,40</w:t>
            </w:r>
          </w:p>
        </w:tc>
        <w:tc>
          <w:tcPr>
            <w:tcW w:w="993" w:type="dxa"/>
            <w:tcBorders>
              <w:top w:val="nil"/>
              <w:left w:val="nil"/>
              <w:bottom w:val="single" w:sz="4" w:space="0" w:color="000000"/>
              <w:right w:val="single" w:sz="4" w:space="0" w:color="000000"/>
            </w:tcBorders>
            <w:shd w:val="clear" w:color="auto" w:fill="auto"/>
            <w:vAlign w:val="center"/>
            <w:hideMark/>
          </w:tcPr>
          <w:p w14:paraId="5F7D55D1"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r>
      <w:tr w:rsidR="007F234E" w:rsidRPr="00F120D7" w14:paraId="4F652001" w14:textId="77777777" w:rsidTr="00F52211">
        <w:trPr>
          <w:trHeight w:val="375"/>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757B6477" w14:textId="77777777" w:rsidR="007F234E" w:rsidRPr="00F120D7" w:rsidRDefault="007F234E"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04 Ekonomski poslovi</w:t>
            </w:r>
          </w:p>
        </w:tc>
        <w:tc>
          <w:tcPr>
            <w:tcW w:w="1418" w:type="dxa"/>
            <w:tcBorders>
              <w:top w:val="nil"/>
              <w:left w:val="nil"/>
              <w:bottom w:val="single" w:sz="4" w:space="0" w:color="000000"/>
              <w:right w:val="single" w:sz="4" w:space="0" w:color="000000"/>
            </w:tcBorders>
            <w:shd w:val="clear" w:color="auto" w:fill="auto"/>
            <w:vAlign w:val="center"/>
            <w:hideMark/>
          </w:tcPr>
          <w:p w14:paraId="19CA29A9"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720.666,94</w:t>
            </w:r>
          </w:p>
        </w:tc>
        <w:tc>
          <w:tcPr>
            <w:tcW w:w="1413" w:type="dxa"/>
            <w:tcBorders>
              <w:top w:val="nil"/>
              <w:left w:val="nil"/>
              <w:bottom w:val="single" w:sz="4" w:space="0" w:color="000000"/>
              <w:right w:val="single" w:sz="4" w:space="0" w:color="000000"/>
            </w:tcBorders>
            <w:shd w:val="clear" w:color="auto" w:fill="auto"/>
            <w:vAlign w:val="center"/>
            <w:hideMark/>
          </w:tcPr>
          <w:p w14:paraId="7BACF8C1"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1697" w:type="dxa"/>
            <w:gridSpan w:val="2"/>
            <w:tcBorders>
              <w:top w:val="nil"/>
              <w:left w:val="nil"/>
              <w:bottom w:val="single" w:sz="4" w:space="0" w:color="000000"/>
              <w:right w:val="single" w:sz="4" w:space="0" w:color="000000"/>
            </w:tcBorders>
            <w:shd w:val="clear" w:color="auto" w:fill="auto"/>
            <w:vAlign w:val="center"/>
            <w:hideMark/>
          </w:tcPr>
          <w:p w14:paraId="35D00571"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086D8750"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102,40</w:t>
            </w:r>
          </w:p>
        </w:tc>
        <w:tc>
          <w:tcPr>
            <w:tcW w:w="993" w:type="dxa"/>
            <w:tcBorders>
              <w:top w:val="nil"/>
              <w:left w:val="nil"/>
              <w:bottom w:val="single" w:sz="4" w:space="0" w:color="000000"/>
              <w:right w:val="single" w:sz="4" w:space="0" w:color="000000"/>
            </w:tcBorders>
            <w:shd w:val="clear" w:color="auto" w:fill="auto"/>
            <w:vAlign w:val="center"/>
            <w:hideMark/>
          </w:tcPr>
          <w:p w14:paraId="6CECB192" w14:textId="77777777" w:rsidR="007F234E" w:rsidRPr="00F120D7" w:rsidRDefault="007F234E" w:rsidP="005C0B7C">
            <w:pPr>
              <w:spacing w:after="0" w:line="240" w:lineRule="auto"/>
              <w:jc w:val="right"/>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r>
      <w:tr w:rsidR="007F234E" w:rsidRPr="00F120D7" w14:paraId="458436E9" w14:textId="77777777" w:rsidTr="00F52211">
        <w:trPr>
          <w:trHeight w:val="360"/>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7589AAD7" w14:textId="77777777" w:rsidR="007F234E" w:rsidRPr="00F120D7" w:rsidRDefault="007F234E"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041 Opći ekonomski, trgovački i poslovi vezani uz rad</w:t>
            </w:r>
          </w:p>
        </w:tc>
        <w:tc>
          <w:tcPr>
            <w:tcW w:w="1418" w:type="dxa"/>
            <w:tcBorders>
              <w:top w:val="nil"/>
              <w:left w:val="nil"/>
              <w:bottom w:val="single" w:sz="4" w:space="0" w:color="000000"/>
              <w:right w:val="single" w:sz="4" w:space="0" w:color="000000"/>
            </w:tcBorders>
            <w:shd w:val="clear" w:color="auto" w:fill="auto"/>
            <w:vAlign w:val="center"/>
            <w:hideMark/>
          </w:tcPr>
          <w:p w14:paraId="3D6BEA33"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169.264,14</w:t>
            </w:r>
          </w:p>
        </w:tc>
        <w:tc>
          <w:tcPr>
            <w:tcW w:w="1413" w:type="dxa"/>
            <w:tcBorders>
              <w:top w:val="nil"/>
              <w:left w:val="nil"/>
              <w:bottom w:val="single" w:sz="4" w:space="0" w:color="000000"/>
              <w:right w:val="single" w:sz="4" w:space="0" w:color="000000"/>
            </w:tcBorders>
            <w:shd w:val="clear" w:color="auto" w:fill="auto"/>
            <w:vAlign w:val="center"/>
            <w:hideMark/>
          </w:tcPr>
          <w:p w14:paraId="7004762C"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226.690,00</w:t>
            </w:r>
          </w:p>
        </w:tc>
        <w:tc>
          <w:tcPr>
            <w:tcW w:w="1697" w:type="dxa"/>
            <w:gridSpan w:val="2"/>
            <w:tcBorders>
              <w:top w:val="nil"/>
              <w:left w:val="nil"/>
              <w:bottom w:val="single" w:sz="4" w:space="0" w:color="000000"/>
              <w:right w:val="single" w:sz="4" w:space="0" w:color="000000"/>
            </w:tcBorders>
            <w:shd w:val="clear" w:color="auto" w:fill="auto"/>
            <w:vAlign w:val="center"/>
            <w:hideMark/>
          </w:tcPr>
          <w:p w14:paraId="76367968"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217.917,71</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22DC7BB3"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128,74</w:t>
            </w:r>
          </w:p>
        </w:tc>
        <w:tc>
          <w:tcPr>
            <w:tcW w:w="993" w:type="dxa"/>
            <w:tcBorders>
              <w:top w:val="nil"/>
              <w:left w:val="nil"/>
              <w:bottom w:val="single" w:sz="4" w:space="0" w:color="000000"/>
              <w:right w:val="single" w:sz="4" w:space="0" w:color="000000"/>
            </w:tcBorders>
            <w:shd w:val="clear" w:color="auto" w:fill="auto"/>
            <w:vAlign w:val="center"/>
            <w:hideMark/>
          </w:tcPr>
          <w:p w14:paraId="7F8251AC"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96,13</w:t>
            </w:r>
          </w:p>
        </w:tc>
      </w:tr>
      <w:tr w:rsidR="007F234E" w:rsidRPr="00F120D7" w14:paraId="00C8F596" w14:textId="77777777" w:rsidTr="00F52211">
        <w:trPr>
          <w:trHeight w:val="360"/>
          <w:jc w:val="center"/>
        </w:trPr>
        <w:tc>
          <w:tcPr>
            <w:tcW w:w="2972" w:type="dxa"/>
            <w:gridSpan w:val="3"/>
            <w:tcBorders>
              <w:top w:val="nil"/>
              <w:left w:val="single" w:sz="4" w:space="0" w:color="000000"/>
              <w:bottom w:val="single" w:sz="4" w:space="0" w:color="000000"/>
              <w:right w:val="single" w:sz="4" w:space="0" w:color="000000"/>
            </w:tcBorders>
            <w:shd w:val="clear" w:color="auto" w:fill="auto"/>
            <w:vAlign w:val="center"/>
            <w:hideMark/>
          </w:tcPr>
          <w:p w14:paraId="7C3B5332" w14:textId="77777777" w:rsidR="007F234E" w:rsidRPr="00F120D7" w:rsidRDefault="007F234E" w:rsidP="005C0B7C">
            <w:pPr>
              <w:spacing w:after="0" w:line="240" w:lineRule="auto"/>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049 Ekonomski poslovi koji nisu drugdje svrstani</w:t>
            </w:r>
          </w:p>
        </w:tc>
        <w:tc>
          <w:tcPr>
            <w:tcW w:w="1418" w:type="dxa"/>
            <w:tcBorders>
              <w:top w:val="nil"/>
              <w:left w:val="nil"/>
              <w:bottom w:val="single" w:sz="4" w:space="0" w:color="000000"/>
              <w:right w:val="single" w:sz="4" w:space="0" w:color="000000"/>
            </w:tcBorders>
            <w:shd w:val="clear" w:color="auto" w:fill="auto"/>
            <w:vAlign w:val="center"/>
            <w:hideMark/>
          </w:tcPr>
          <w:p w14:paraId="0AF39B1B"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551.402,80</w:t>
            </w:r>
          </w:p>
        </w:tc>
        <w:tc>
          <w:tcPr>
            <w:tcW w:w="1413" w:type="dxa"/>
            <w:tcBorders>
              <w:top w:val="nil"/>
              <w:left w:val="nil"/>
              <w:bottom w:val="single" w:sz="4" w:space="0" w:color="000000"/>
              <w:right w:val="single" w:sz="4" w:space="0" w:color="000000"/>
            </w:tcBorders>
            <w:shd w:val="clear" w:color="auto" w:fill="auto"/>
            <w:vAlign w:val="center"/>
            <w:hideMark/>
          </w:tcPr>
          <w:p w14:paraId="3E920AB0"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598.370,00</w:t>
            </w:r>
          </w:p>
        </w:tc>
        <w:tc>
          <w:tcPr>
            <w:tcW w:w="1697" w:type="dxa"/>
            <w:gridSpan w:val="2"/>
            <w:tcBorders>
              <w:top w:val="nil"/>
              <w:left w:val="nil"/>
              <w:bottom w:val="single" w:sz="4" w:space="0" w:color="000000"/>
              <w:right w:val="single" w:sz="4" w:space="0" w:color="000000"/>
            </w:tcBorders>
            <w:shd w:val="clear" w:color="auto" w:fill="auto"/>
            <w:vAlign w:val="center"/>
            <w:hideMark/>
          </w:tcPr>
          <w:p w14:paraId="03B0DE67"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520.039,46</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3350CE71"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94,31</w:t>
            </w:r>
          </w:p>
        </w:tc>
        <w:tc>
          <w:tcPr>
            <w:tcW w:w="993" w:type="dxa"/>
            <w:tcBorders>
              <w:top w:val="nil"/>
              <w:left w:val="nil"/>
              <w:bottom w:val="single" w:sz="4" w:space="0" w:color="000000"/>
              <w:right w:val="single" w:sz="4" w:space="0" w:color="000000"/>
            </w:tcBorders>
            <w:shd w:val="clear" w:color="auto" w:fill="auto"/>
            <w:vAlign w:val="center"/>
            <w:hideMark/>
          </w:tcPr>
          <w:p w14:paraId="3E0C814B" w14:textId="77777777" w:rsidR="007F234E" w:rsidRPr="00F120D7" w:rsidRDefault="007F234E" w:rsidP="005C0B7C">
            <w:pPr>
              <w:spacing w:after="0" w:line="240" w:lineRule="auto"/>
              <w:jc w:val="right"/>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86,91</w:t>
            </w:r>
          </w:p>
        </w:tc>
      </w:tr>
    </w:tbl>
    <w:p w14:paraId="5DEBC2F4" w14:textId="77777777" w:rsidR="002C5828" w:rsidRPr="005C0B7C" w:rsidRDefault="002C5828" w:rsidP="005C0B7C">
      <w:pPr>
        <w:spacing w:after="0" w:line="240" w:lineRule="auto"/>
        <w:rPr>
          <w:rFonts w:ascii="Times New Roman" w:hAnsi="Times New Roman" w:cs="Times New Roman"/>
          <w:sz w:val="24"/>
          <w:szCs w:val="24"/>
        </w:rPr>
      </w:pPr>
    </w:p>
    <w:p w14:paraId="58483E0E" w14:textId="77777777" w:rsidR="00803102" w:rsidRPr="005C0B7C" w:rsidRDefault="00803102" w:rsidP="005C0B7C">
      <w:pPr>
        <w:spacing w:after="0" w:line="240" w:lineRule="auto"/>
        <w:rPr>
          <w:rFonts w:ascii="Times New Roman" w:hAnsi="Times New Roman" w:cs="Times New Roman"/>
          <w:sz w:val="24"/>
          <w:szCs w:val="24"/>
        </w:rPr>
      </w:pPr>
    </w:p>
    <w:p w14:paraId="66818510" w14:textId="77777777" w:rsidR="00803102" w:rsidRPr="005C0B7C" w:rsidRDefault="00803102" w:rsidP="005C0B7C">
      <w:pPr>
        <w:spacing w:after="0" w:line="240" w:lineRule="auto"/>
        <w:ind w:right="15"/>
        <w:jc w:val="center"/>
        <w:rPr>
          <w:rFonts w:ascii="Times New Roman" w:eastAsia="Times New Roman" w:hAnsi="Times New Roman" w:cs="Times New Roman"/>
          <w:b/>
          <w:sz w:val="24"/>
          <w:szCs w:val="24"/>
          <w:lang w:eastAsia="hr-HR"/>
        </w:rPr>
      </w:pPr>
    </w:p>
    <w:p w14:paraId="11DAAFD3" w14:textId="77777777" w:rsidR="00803102" w:rsidRPr="005C0B7C" w:rsidRDefault="00803102" w:rsidP="005C0B7C">
      <w:pPr>
        <w:tabs>
          <w:tab w:val="center" w:pos="2267"/>
          <w:tab w:val="center" w:pos="7171"/>
          <w:tab w:val="center" w:pos="9271"/>
          <w:tab w:val="center" w:pos="10406"/>
        </w:tabs>
        <w:spacing w:after="0" w:line="240" w:lineRule="auto"/>
        <w:rPr>
          <w:rFonts w:ascii="Times New Roman" w:eastAsia="Arial" w:hAnsi="Times New Roman" w:cs="Times New Roman"/>
          <w:sz w:val="24"/>
          <w:szCs w:val="24"/>
          <w:lang w:eastAsia="hr-HR"/>
        </w:rPr>
      </w:pPr>
    </w:p>
    <w:p w14:paraId="13F11AD3" w14:textId="77777777" w:rsidR="00803102" w:rsidRPr="005C0B7C" w:rsidRDefault="00803102" w:rsidP="00253F03">
      <w:pPr>
        <w:framePr w:w="9759" w:wrap="auto" w:hAnchor="text"/>
        <w:spacing w:after="0" w:line="240" w:lineRule="auto"/>
        <w:rPr>
          <w:rFonts w:ascii="Times New Roman" w:hAnsi="Times New Roman" w:cs="Times New Roman"/>
          <w:sz w:val="24"/>
          <w:szCs w:val="24"/>
        </w:rPr>
        <w:sectPr w:rsidR="00803102" w:rsidRPr="005C0B7C" w:rsidSect="005C0B7C">
          <w:pgSz w:w="11906" w:h="16838"/>
          <w:pgMar w:top="1440" w:right="1440" w:bottom="1440" w:left="1440" w:header="708" w:footer="708" w:gutter="0"/>
          <w:cols w:space="708"/>
          <w:docGrid w:linePitch="360"/>
        </w:sectPr>
      </w:pPr>
    </w:p>
    <w:tbl>
      <w:tblPr>
        <w:tblW w:w="10424" w:type="dxa"/>
        <w:tblLook w:val="04A0" w:firstRow="1" w:lastRow="0" w:firstColumn="1" w:lastColumn="0" w:noHBand="0" w:noVBand="1"/>
      </w:tblPr>
      <w:tblGrid>
        <w:gridCol w:w="222"/>
        <w:gridCol w:w="1338"/>
        <w:gridCol w:w="3118"/>
        <w:gridCol w:w="1296"/>
        <w:gridCol w:w="2410"/>
        <w:gridCol w:w="910"/>
        <w:gridCol w:w="1130"/>
      </w:tblGrid>
      <w:tr w:rsidR="00165B1F" w:rsidRPr="005C0B7C" w14:paraId="479BACA2" w14:textId="77777777" w:rsidTr="00F52211">
        <w:trPr>
          <w:trHeight w:val="840"/>
        </w:trPr>
        <w:tc>
          <w:tcPr>
            <w:tcW w:w="222" w:type="dxa"/>
            <w:tcBorders>
              <w:top w:val="nil"/>
              <w:left w:val="nil"/>
              <w:bottom w:val="nil"/>
              <w:right w:val="nil"/>
            </w:tcBorders>
            <w:shd w:val="clear" w:color="auto" w:fill="auto"/>
            <w:noWrap/>
            <w:vAlign w:val="bottom"/>
            <w:hideMark/>
          </w:tcPr>
          <w:p w14:paraId="67D12260" w14:textId="77777777" w:rsidR="00165B1F" w:rsidRPr="005C0B7C" w:rsidRDefault="00165B1F" w:rsidP="005C0B7C">
            <w:pPr>
              <w:spacing w:after="0" w:line="240" w:lineRule="auto"/>
              <w:rPr>
                <w:rFonts w:ascii="Times New Roman" w:eastAsia="Times New Roman" w:hAnsi="Times New Roman" w:cs="Times New Roman"/>
                <w:sz w:val="24"/>
                <w:szCs w:val="24"/>
                <w:lang w:eastAsia="hr-HR"/>
              </w:rPr>
            </w:pPr>
          </w:p>
        </w:tc>
        <w:tc>
          <w:tcPr>
            <w:tcW w:w="10202" w:type="dxa"/>
            <w:gridSpan w:val="6"/>
            <w:tcBorders>
              <w:top w:val="nil"/>
              <w:left w:val="nil"/>
              <w:bottom w:val="nil"/>
              <w:right w:val="nil"/>
            </w:tcBorders>
            <w:shd w:val="clear" w:color="auto" w:fill="auto"/>
            <w:hideMark/>
          </w:tcPr>
          <w:p w14:paraId="5D209FB4" w14:textId="77777777" w:rsidR="00165B1F" w:rsidRPr="005C0B7C" w:rsidRDefault="00165B1F" w:rsidP="005C0B7C">
            <w:pPr>
              <w:spacing w:after="0" w:line="240" w:lineRule="auto"/>
              <w:ind w:right="874"/>
              <w:jc w:val="center"/>
              <w:rPr>
                <w:rFonts w:ascii="Times New Roman" w:eastAsia="Times New Roman" w:hAnsi="Times New Roman" w:cs="Times New Roman"/>
                <w:b/>
                <w:bCs/>
                <w:color w:val="000000"/>
                <w:sz w:val="24"/>
                <w:szCs w:val="24"/>
                <w:lang w:eastAsia="hr-HR"/>
              </w:rPr>
            </w:pPr>
            <w:r w:rsidRPr="005C0B7C">
              <w:rPr>
                <w:rFonts w:ascii="Times New Roman" w:eastAsia="Times New Roman" w:hAnsi="Times New Roman" w:cs="Times New Roman"/>
                <w:b/>
                <w:bCs/>
                <w:color w:val="000000"/>
                <w:sz w:val="24"/>
                <w:szCs w:val="24"/>
                <w:lang w:eastAsia="hr-HR"/>
              </w:rPr>
              <w:t>2. POSEBNI DIO</w:t>
            </w:r>
            <w:r w:rsidRPr="005C0B7C">
              <w:rPr>
                <w:rFonts w:ascii="Times New Roman" w:eastAsia="Times New Roman" w:hAnsi="Times New Roman" w:cs="Times New Roman"/>
                <w:b/>
                <w:bCs/>
                <w:color w:val="000000"/>
                <w:sz w:val="24"/>
                <w:szCs w:val="24"/>
                <w:lang w:eastAsia="hr-HR"/>
              </w:rPr>
              <w:br/>
            </w:r>
            <w:r w:rsidRPr="005C0B7C">
              <w:rPr>
                <w:rFonts w:ascii="Times New Roman" w:eastAsia="Times New Roman" w:hAnsi="Times New Roman" w:cs="Times New Roman"/>
                <w:b/>
                <w:bCs/>
                <w:color w:val="000000"/>
                <w:sz w:val="24"/>
                <w:szCs w:val="24"/>
                <w:lang w:eastAsia="hr-HR"/>
              </w:rPr>
              <w:br/>
              <w:t>2.1. IZVJEŠTAJ PO PROGRAMSKOJ KLASIFIKACIJI</w:t>
            </w:r>
          </w:p>
        </w:tc>
      </w:tr>
      <w:tr w:rsidR="00C463E9" w:rsidRPr="005C0B7C" w14:paraId="184A4474" w14:textId="77777777" w:rsidTr="00F52211">
        <w:trPr>
          <w:trHeight w:val="405"/>
        </w:trPr>
        <w:tc>
          <w:tcPr>
            <w:tcW w:w="222" w:type="dxa"/>
            <w:tcBorders>
              <w:top w:val="nil"/>
              <w:left w:val="nil"/>
              <w:bottom w:val="nil"/>
              <w:right w:val="nil"/>
            </w:tcBorders>
            <w:shd w:val="clear" w:color="auto" w:fill="auto"/>
            <w:noWrap/>
            <w:vAlign w:val="bottom"/>
            <w:hideMark/>
          </w:tcPr>
          <w:p w14:paraId="3A3AA070"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c>
          <w:tcPr>
            <w:tcW w:w="1338" w:type="dxa"/>
            <w:tcBorders>
              <w:top w:val="nil"/>
              <w:left w:val="nil"/>
              <w:bottom w:val="nil"/>
              <w:right w:val="nil"/>
            </w:tcBorders>
            <w:shd w:val="clear" w:color="auto" w:fill="auto"/>
            <w:noWrap/>
            <w:vAlign w:val="bottom"/>
            <w:hideMark/>
          </w:tcPr>
          <w:p w14:paraId="7629BD81" w14:textId="77777777" w:rsidR="00165B1F" w:rsidRPr="005C0B7C" w:rsidRDefault="00165B1F" w:rsidP="005C0B7C">
            <w:pPr>
              <w:spacing w:after="0" w:line="240" w:lineRule="auto"/>
              <w:jc w:val="center"/>
              <w:rPr>
                <w:rFonts w:ascii="Times New Roman" w:eastAsia="Times New Roman" w:hAnsi="Times New Roman" w:cs="Times New Roman"/>
                <w:sz w:val="24"/>
                <w:szCs w:val="24"/>
                <w:lang w:eastAsia="hr-HR"/>
              </w:rPr>
            </w:pPr>
          </w:p>
        </w:tc>
        <w:tc>
          <w:tcPr>
            <w:tcW w:w="3118" w:type="dxa"/>
            <w:tcBorders>
              <w:top w:val="nil"/>
              <w:left w:val="nil"/>
              <w:bottom w:val="nil"/>
              <w:right w:val="nil"/>
            </w:tcBorders>
            <w:shd w:val="clear" w:color="auto" w:fill="auto"/>
            <w:noWrap/>
            <w:vAlign w:val="bottom"/>
            <w:hideMark/>
          </w:tcPr>
          <w:p w14:paraId="3A57EF61" w14:textId="77777777" w:rsidR="00165B1F" w:rsidRPr="005C0B7C" w:rsidRDefault="00165B1F" w:rsidP="005C0B7C">
            <w:pPr>
              <w:spacing w:after="0" w:line="240" w:lineRule="auto"/>
              <w:jc w:val="center"/>
              <w:rPr>
                <w:rFonts w:ascii="Times New Roman" w:eastAsia="Times New Roman" w:hAnsi="Times New Roman" w:cs="Times New Roman"/>
                <w:sz w:val="24"/>
                <w:szCs w:val="24"/>
                <w:lang w:eastAsia="hr-HR"/>
              </w:rPr>
            </w:pPr>
          </w:p>
        </w:tc>
        <w:tc>
          <w:tcPr>
            <w:tcW w:w="1296" w:type="dxa"/>
            <w:tcBorders>
              <w:top w:val="nil"/>
              <w:left w:val="nil"/>
              <w:bottom w:val="nil"/>
              <w:right w:val="nil"/>
            </w:tcBorders>
            <w:shd w:val="clear" w:color="auto" w:fill="auto"/>
            <w:noWrap/>
            <w:vAlign w:val="bottom"/>
            <w:hideMark/>
          </w:tcPr>
          <w:p w14:paraId="5A873D45" w14:textId="77777777" w:rsidR="00165B1F" w:rsidRPr="005C0B7C" w:rsidRDefault="00165B1F" w:rsidP="005C0B7C">
            <w:pPr>
              <w:spacing w:after="0" w:line="240" w:lineRule="auto"/>
              <w:jc w:val="center"/>
              <w:rPr>
                <w:rFonts w:ascii="Times New Roman" w:eastAsia="Times New Roman" w:hAnsi="Times New Roman" w:cs="Times New Roman"/>
                <w:sz w:val="24"/>
                <w:szCs w:val="24"/>
                <w:lang w:eastAsia="hr-HR"/>
              </w:rPr>
            </w:pPr>
          </w:p>
        </w:tc>
        <w:tc>
          <w:tcPr>
            <w:tcW w:w="2410" w:type="dxa"/>
            <w:tcBorders>
              <w:top w:val="nil"/>
              <w:left w:val="nil"/>
              <w:bottom w:val="nil"/>
              <w:right w:val="nil"/>
            </w:tcBorders>
            <w:shd w:val="clear" w:color="auto" w:fill="auto"/>
            <w:noWrap/>
            <w:vAlign w:val="bottom"/>
            <w:hideMark/>
          </w:tcPr>
          <w:p w14:paraId="11466286" w14:textId="77777777" w:rsidR="00165B1F" w:rsidRPr="005C0B7C" w:rsidRDefault="00165B1F" w:rsidP="005C0B7C">
            <w:pPr>
              <w:spacing w:after="0" w:line="240" w:lineRule="auto"/>
              <w:jc w:val="center"/>
              <w:rPr>
                <w:rFonts w:ascii="Times New Roman" w:eastAsia="Times New Roman" w:hAnsi="Times New Roman" w:cs="Times New Roman"/>
                <w:sz w:val="24"/>
                <w:szCs w:val="24"/>
                <w:lang w:eastAsia="hr-HR"/>
              </w:rPr>
            </w:pPr>
          </w:p>
        </w:tc>
        <w:tc>
          <w:tcPr>
            <w:tcW w:w="910" w:type="dxa"/>
            <w:tcBorders>
              <w:top w:val="nil"/>
              <w:left w:val="nil"/>
              <w:bottom w:val="nil"/>
              <w:right w:val="nil"/>
            </w:tcBorders>
            <w:shd w:val="clear" w:color="auto" w:fill="auto"/>
            <w:noWrap/>
            <w:vAlign w:val="bottom"/>
            <w:hideMark/>
          </w:tcPr>
          <w:p w14:paraId="543E7C14" w14:textId="77777777" w:rsidR="00165B1F" w:rsidRPr="005C0B7C" w:rsidRDefault="00165B1F" w:rsidP="005C0B7C">
            <w:pPr>
              <w:spacing w:after="0" w:line="240" w:lineRule="auto"/>
              <w:jc w:val="center"/>
              <w:rPr>
                <w:rFonts w:ascii="Times New Roman" w:eastAsia="Times New Roman" w:hAnsi="Times New Roman" w:cs="Times New Roman"/>
                <w:sz w:val="24"/>
                <w:szCs w:val="24"/>
                <w:lang w:eastAsia="hr-HR"/>
              </w:rPr>
            </w:pPr>
          </w:p>
        </w:tc>
        <w:tc>
          <w:tcPr>
            <w:tcW w:w="1130" w:type="dxa"/>
            <w:tcBorders>
              <w:top w:val="nil"/>
              <w:left w:val="nil"/>
              <w:bottom w:val="nil"/>
              <w:right w:val="nil"/>
            </w:tcBorders>
            <w:shd w:val="clear" w:color="auto" w:fill="auto"/>
            <w:noWrap/>
            <w:vAlign w:val="bottom"/>
            <w:hideMark/>
          </w:tcPr>
          <w:p w14:paraId="7C2AFD74" w14:textId="77777777" w:rsidR="00165B1F" w:rsidRPr="005C0B7C" w:rsidRDefault="00165B1F" w:rsidP="005C0B7C">
            <w:pPr>
              <w:spacing w:after="0" w:line="240" w:lineRule="auto"/>
              <w:jc w:val="center"/>
              <w:rPr>
                <w:rFonts w:ascii="Times New Roman" w:eastAsia="Times New Roman" w:hAnsi="Times New Roman" w:cs="Times New Roman"/>
                <w:sz w:val="24"/>
                <w:szCs w:val="24"/>
                <w:lang w:eastAsia="hr-HR"/>
              </w:rPr>
            </w:pPr>
          </w:p>
        </w:tc>
      </w:tr>
      <w:tr w:rsidR="00C463E9" w:rsidRPr="005C0B7C" w14:paraId="408DB8F1" w14:textId="77777777" w:rsidTr="00F52211">
        <w:trPr>
          <w:trHeight w:val="555"/>
        </w:trPr>
        <w:tc>
          <w:tcPr>
            <w:tcW w:w="4678"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7430CC9C"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Brojčana oznaka i naziv</w:t>
            </w:r>
          </w:p>
        </w:tc>
        <w:tc>
          <w:tcPr>
            <w:tcW w:w="1296" w:type="dxa"/>
            <w:tcBorders>
              <w:top w:val="single" w:sz="4" w:space="0" w:color="000000"/>
              <w:left w:val="nil"/>
              <w:bottom w:val="single" w:sz="4" w:space="0" w:color="000000"/>
              <w:right w:val="single" w:sz="4" w:space="0" w:color="000000"/>
            </w:tcBorders>
            <w:shd w:val="clear" w:color="000000" w:fill="DCDCDC"/>
            <w:vAlign w:val="center"/>
            <w:hideMark/>
          </w:tcPr>
          <w:p w14:paraId="0F267EE7"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Rebalans za 2024. godinu</w:t>
            </w:r>
          </w:p>
        </w:tc>
        <w:tc>
          <w:tcPr>
            <w:tcW w:w="2410" w:type="dxa"/>
            <w:tcBorders>
              <w:top w:val="single" w:sz="4" w:space="0" w:color="000000"/>
              <w:left w:val="nil"/>
              <w:bottom w:val="single" w:sz="4" w:space="0" w:color="000000"/>
              <w:right w:val="single" w:sz="4" w:space="0" w:color="000000"/>
            </w:tcBorders>
            <w:shd w:val="clear" w:color="000000" w:fill="DCDCDC"/>
            <w:vAlign w:val="center"/>
            <w:hideMark/>
          </w:tcPr>
          <w:p w14:paraId="52DF0BB4"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Izvršenje 31.12.2024.</w:t>
            </w:r>
          </w:p>
        </w:tc>
        <w:tc>
          <w:tcPr>
            <w:tcW w:w="910" w:type="dxa"/>
            <w:tcBorders>
              <w:top w:val="single" w:sz="4" w:space="0" w:color="000000"/>
              <w:left w:val="nil"/>
              <w:bottom w:val="single" w:sz="4" w:space="0" w:color="000000"/>
              <w:right w:val="single" w:sz="4" w:space="0" w:color="000000"/>
            </w:tcBorders>
            <w:shd w:val="clear" w:color="000000" w:fill="DCDCDC"/>
            <w:vAlign w:val="center"/>
            <w:hideMark/>
          </w:tcPr>
          <w:p w14:paraId="51D0E38A"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 xml:space="preserve">Indeks </w:t>
            </w:r>
            <w:r w:rsidRPr="00F120D7">
              <w:rPr>
                <w:rFonts w:ascii="Times New Roman" w:eastAsia="Times New Roman" w:hAnsi="Times New Roman" w:cs="Times New Roman"/>
                <w:b/>
                <w:bCs/>
                <w:color w:val="000000"/>
                <w:lang w:eastAsia="hr-HR"/>
              </w:rPr>
              <w:br/>
              <w:t>3 / 2</w:t>
            </w:r>
          </w:p>
        </w:tc>
        <w:tc>
          <w:tcPr>
            <w:tcW w:w="1130" w:type="dxa"/>
            <w:tcBorders>
              <w:top w:val="nil"/>
              <w:left w:val="nil"/>
              <w:bottom w:val="nil"/>
              <w:right w:val="nil"/>
            </w:tcBorders>
            <w:shd w:val="clear" w:color="auto" w:fill="auto"/>
            <w:noWrap/>
            <w:vAlign w:val="bottom"/>
            <w:hideMark/>
          </w:tcPr>
          <w:p w14:paraId="55B5F53B"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4B171ED4" w14:textId="77777777" w:rsidTr="00F52211">
        <w:trPr>
          <w:trHeight w:val="315"/>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CCD9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w:t>
            </w:r>
          </w:p>
        </w:tc>
        <w:tc>
          <w:tcPr>
            <w:tcW w:w="1296" w:type="dxa"/>
            <w:tcBorders>
              <w:top w:val="nil"/>
              <w:left w:val="nil"/>
              <w:bottom w:val="single" w:sz="4" w:space="0" w:color="000000"/>
              <w:right w:val="single" w:sz="4" w:space="0" w:color="000000"/>
            </w:tcBorders>
            <w:shd w:val="clear" w:color="auto" w:fill="auto"/>
            <w:vAlign w:val="center"/>
            <w:hideMark/>
          </w:tcPr>
          <w:p w14:paraId="5868041A"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w:t>
            </w:r>
          </w:p>
        </w:tc>
        <w:tc>
          <w:tcPr>
            <w:tcW w:w="2410" w:type="dxa"/>
            <w:tcBorders>
              <w:top w:val="nil"/>
              <w:left w:val="nil"/>
              <w:bottom w:val="single" w:sz="4" w:space="0" w:color="000000"/>
              <w:right w:val="single" w:sz="4" w:space="0" w:color="000000"/>
            </w:tcBorders>
            <w:shd w:val="clear" w:color="auto" w:fill="auto"/>
            <w:vAlign w:val="center"/>
            <w:hideMark/>
          </w:tcPr>
          <w:p w14:paraId="29724904"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w:t>
            </w:r>
          </w:p>
        </w:tc>
        <w:tc>
          <w:tcPr>
            <w:tcW w:w="910" w:type="dxa"/>
            <w:tcBorders>
              <w:top w:val="nil"/>
              <w:left w:val="nil"/>
              <w:bottom w:val="single" w:sz="4" w:space="0" w:color="000000"/>
              <w:right w:val="single" w:sz="4" w:space="0" w:color="000000"/>
            </w:tcBorders>
            <w:shd w:val="clear" w:color="auto" w:fill="auto"/>
            <w:vAlign w:val="center"/>
            <w:hideMark/>
          </w:tcPr>
          <w:p w14:paraId="2067E3B0"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w:t>
            </w:r>
          </w:p>
        </w:tc>
        <w:tc>
          <w:tcPr>
            <w:tcW w:w="1130" w:type="dxa"/>
            <w:tcBorders>
              <w:top w:val="nil"/>
              <w:left w:val="nil"/>
              <w:bottom w:val="nil"/>
              <w:right w:val="nil"/>
            </w:tcBorders>
            <w:shd w:val="clear" w:color="auto" w:fill="auto"/>
            <w:noWrap/>
            <w:vAlign w:val="bottom"/>
            <w:hideMark/>
          </w:tcPr>
          <w:p w14:paraId="4C96AA7B"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47A7D17C" w14:textId="77777777" w:rsidTr="00F52211">
        <w:trPr>
          <w:trHeight w:val="330"/>
        </w:trPr>
        <w:tc>
          <w:tcPr>
            <w:tcW w:w="4678" w:type="dxa"/>
            <w:gridSpan w:val="3"/>
            <w:tcBorders>
              <w:top w:val="nil"/>
              <w:left w:val="single" w:sz="4" w:space="0" w:color="000000"/>
              <w:bottom w:val="single" w:sz="4" w:space="0" w:color="000000"/>
              <w:right w:val="single" w:sz="4" w:space="0" w:color="000000"/>
            </w:tcBorders>
            <w:shd w:val="clear" w:color="auto" w:fill="auto"/>
            <w:vAlign w:val="center"/>
            <w:hideMark/>
          </w:tcPr>
          <w:p w14:paraId="5106854E" w14:textId="7568510B" w:rsidR="00165B1F" w:rsidRPr="00F120D7" w:rsidRDefault="00165B1F" w:rsidP="005C0B7C">
            <w:pPr>
              <w:spacing w:after="0" w:line="240" w:lineRule="auto"/>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UKUPNO :</w:t>
            </w:r>
          </w:p>
        </w:tc>
        <w:tc>
          <w:tcPr>
            <w:tcW w:w="1296" w:type="dxa"/>
            <w:tcBorders>
              <w:top w:val="nil"/>
              <w:left w:val="nil"/>
              <w:bottom w:val="single" w:sz="4" w:space="0" w:color="000000"/>
              <w:right w:val="single" w:sz="4" w:space="0" w:color="000000"/>
            </w:tcBorders>
            <w:shd w:val="clear" w:color="auto" w:fill="auto"/>
            <w:vAlign w:val="center"/>
            <w:hideMark/>
          </w:tcPr>
          <w:p w14:paraId="0234D675"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2410" w:type="dxa"/>
            <w:tcBorders>
              <w:top w:val="nil"/>
              <w:left w:val="nil"/>
              <w:bottom w:val="single" w:sz="4" w:space="0" w:color="000000"/>
              <w:right w:val="single" w:sz="4" w:space="0" w:color="000000"/>
            </w:tcBorders>
            <w:shd w:val="clear" w:color="auto" w:fill="auto"/>
            <w:vAlign w:val="center"/>
            <w:hideMark/>
          </w:tcPr>
          <w:p w14:paraId="4014072B"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910" w:type="dxa"/>
            <w:tcBorders>
              <w:top w:val="nil"/>
              <w:left w:val="nil"/>
              <w:bottom w:val="single" w:sz="4" w:space="0" w:color="000000"/>
              <w:right w:val="single" w:sz="4" w:space="0" w:color="000000"/>
            </w:tcBorders>
            <w:shd w:val="clear" w:color="auto" w:fill="auto"/>
            <w:vAlign w:val="center"/>
            <w:hideMark/>
          </w:tcPr>
          <w:p w14:paraId="5B63CD1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c>
          <w:tcPr>
            <w:tcW w:w="1130" w:type="dxa"/>
            <w:tcBorders>
              <w:top w:val="nil"/>
              <w:left w:val="nil"/>
              <w:bottom w:val="nil"/>
              <w:right w:val="nil"/>
            </w:tcBorders>
            <w:shd w:val="clear" w:color="auto" w:fill="auto"/>
            <w:noWrap/>
            <w:vAlign w:val="bottom"/>
            <w:hideMark/>
          </w:tcPr>
          <w:p w14:paraId="1EC005B6"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3955D6" w:rsidRPr="005C0B7C" w14:paraId="516EAC58"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tcPr>
          <w:p w14:paraId="018845ED" w14:textId="068615A4" w:rsidR="003955D6" w:rsidRPr="00F120D7" w:rsidRDefault="003955D6" w:rsidP="001F32D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RAZDJEL</w:t>
            </w:r>
            <w:r w:rsidR="00D46EFD" w:rsidRPr="00F120D7">
              <w:rPr>
                <w:rFonts w:ascii="Times New Roman" w:eastAsia="Times New Roman" w:hAnsi="Times New Roman" w:cs="Times New Roman"/>
                <w:b/>
                <w:bCs/>
                <w:color w:val="000000"/>
                <w:lang w:eastAsia="hr-HR"/>
              </w:rPr>
              <w:t xml:space="preserve"> 004</w:t>
            </w:r>
          </w:p>
        </w:tc>
        <w:tc>
          <w:tcPr>
            <w:tcW w:w="3118" w:type="dxa"/>
            <w:tcBorders>
              <w:top w:val="nil"/>
              <w:left w:val="nil"/>
              <w:bottom w:val="single" w:sz="4" w:space="0" w:color="000000"/>
              <w:right w:val="single" w:sz="4" w:space="0" w:color="000000"/>
            </w:tcBorders>
            <w:shd w:val="clear" w:color="auto" w:fill="auto"/>
            <w:vAlign w:val="center"/>
          </w:tcPr>
          <w:p w14:paraId="63EF42A7" w14:textId="50F1A1AF" w:rsidR="003955D6" w:rsidRPr="00F120D7" w:rsidRDefault="003955D6"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UPRAVNI ODJEL ZA GOSPODARSTVO, KOMUNALNE DJELATNSOTI I POLJOPRIVREDU</w:t>
            </w:r>
          </w:p>
        </w:tc>
        <w:tc>
          <w:tcPr>
            <w:tcW w:w="1296" w:type="dxa"/>
            <w:tcBorders>
              <w:top w:val="nil"/>
              <w:left w:val="nil"/>
              <w:bottom w:val="single" w:sz="4" w:space="0" w:color="000000"/>
              <w:right w:val="single" w:sz="4" w:space="0" w:color="000000"/>
            </w:tcBorders>
            <w:shd w:val="clear" w:color="auto" w:fill="auto"/>
            <w:vAlign w:val="center"/>
          </w:tcPr>
          <w:p w14:paraId="6CDCEB4A" w14:textId="322201D8" w:rsidR="003955D6" w:rsidRPr="00F120D7" w:rsidRDefault="003955D6"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2410" w:type="dxa"/>
            <w:tcBorders>
              <w:top w:val="nil"/>
              <w:left w:val="nil"/>
              <w:bottom w:val="single" w:sz="4" w:space="0" w:color="000000"/>
              <w:right w:val="single" w:sz="4" w:space="0" w:color="000000"/>
            </w:tcBorders>
            <w:shd w:val="clear" w:color="auto" w:fill="auto"/>
            <w:vAlign w:val="center"/>
          </w:tcPr>
          <w:p w14:paraId="723B6D64" w14:textId="4820483D" w:rsidR="003955D6" w:rsidRPr="00F120D7" w:rsidRDefault="003955D6"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737.957,14</w:t>
            </w:r>
          </w:p>
        </w:tc>
        <w:tc>
          <w:tcPr>
            <w:tcW w:w="910" w:type="dxa"/>
            <w:tcBorders>
              <w:top w:val="nil"/>
              <w:left w:val="nil"/>
              <w:bottom w:val="single" w:sz="4" w:space="0" w:color="000000"/>
              <w:right w:val="single" w:sz="4" w:space="0" w:color="000000"/>
            </w:tcBorders>
            <w:shd w:val="clear" w:color="auto" w:fill="auto"/>
            <w:vAlign w:val="center"/>
          </w:tcPr>
          <w:p w14:paraId="6CE08ABD" w14:textId="3DFEE386" w:rsidR="003955D6" w:rsidRPr="00F120D7" w:rsidRDefault="003955D6"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c>
          <w:tcPr>
            <w:tcW w:w="1130" w:type="dxa"/>
            <w:tcBorders>
              <w:top w:val="nil"/>
              <w:left w:val="nil"/>
              <w:bottom w:val="nil"/>
              <w:right w:val="nil"/>
            </w:tcBorders>
            <w:shd w:val="clear" w:color="auto" w:fill="auto"/>
            <w:noWrap/>
            <w:vAlign w:val="bottom"/>
          </w:tcPr>
          <w:p w14:paraId="7D3766C6" w14:textId="77777777" w:rsidR="003955D6" w:rsidRPr="005C0B7C" w:rsidRDefault="003955D6"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1FDAD8CD"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C1C6EFF"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GLAVA    00403</w:t>
            </w:r>
          </w:p>
        </w:tc>
        <w:tc>
          <w:tcPr>
            <w:tcW w:w="3118" w:type="dxa"/>
            <w:tcBorders>
              <w:top w:val="nil"/>
              <w:left w:val="nil"/>
              <w:bottom w:val="single" w:sz="4" w:space="0" w:color="000000"/>
              <w:right w:val="single" w:sz="4" w:space="0" w:color="000000"/>
            </w:tcBorders>
            <w:shd w:val="clear" w:color="auto" w:fill="auto"/>
            <w:vAlign w:val="center"/>
            <w:hideMark/>
          </w:tcPr>
          <w:p w14:paraId="39DAE429"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PORA</w:t>
            </w:r>
          </w:p>
        </w:tc>
        <w:tc>
          <w:tcPr>
            <w:tcW w:w="1296" w:type="dxa"/>
            <w:tcBorders>
              <w:top w:val="nil"/>
              <w:left w:val="nil"/>
              <w:bottom w:val="single" w:sz="4" w:space="0" w:color="000000"/>
              <w:right w:val="single" w:sz="4" w:space="0" w:color="000000"/>
            </w:tcBorders>
            <w:shd w:val="clear" w:color="auto" w:fill="auto"/>
            <w:vAlign w:val="center"/>
            <w:hideMark/>
          </w:tcPr>
          <w:p w14:paraId="1D6FC33A"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2410" w:type="dxa"/>
            <w:tcBorders>
              <w:top w:val="nil"/>
              <w:left w:val="nil"/>
              <w:bottom w:val="single" w:sz="4" w:space="0" w:color="000000"/>
              <w:right w:val="single" w:sz="4" w:space="0" w:color="000000"/>
            </w:tcBorders>
            <w:shd w:val="clear" w:color="auto" w:fill="auto"/>
            <w:vAlign w:val="center"/>
            <w:hideMark/>
          </w:tcPr>
          <w:p w14:paraId="63A142BD"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910" w:type="dxa"/>
            <w:tcBorders>
              <w:top w:val="nil"/>
              <w:left w:val="nil"/>
              <w:bottom w:val="single" w:sz="4" w:space="0" w:color="000000"/>
              <w:right w:val="single" w:sz="4" w:space="0" w:color="000000"/>
            </w:tcBorders>
            <w:shd w:val="clear" w:color="auto" w:fill="auto"/>
            <w:vAlign w:val="center"/>
            <w:hideMark/>
          </w:tcPr>
          <w:p w14:paraId="3C8A2F1E"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c>
          <w:tcPr>
            <w:tcW w:w="1130" w:type="dxa"/>
            <w:tcBorders>
              <w:top w:val="nil"/>
              <w:left w:val="nil"/>
              <w:bottom w:val="nil"/>
              <w:right w:val="nil"/>
            </w:tcBorders>
            <w:shd w:val="clear" w:color="auto" w:fill="auto"/>
            <w:noWrap/>
            <w:vAlign w:val="bottom"/>
            <w:hideMark/>
          </w:tcPr>
          <w:p w14:paraId="1C3E5F4D"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67ABFBFF"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9BC036C"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Izvor financiranja   01</w:t>
            </w:r>
          </w:p>
        </w:tc>
        <w:tc>
          <w:tcPr>
            <w:tcW w:w="3118" w:type="dxa"/>
            <w:tcBorders>
              <w:top w:val="nil"/>
              <w:left w:val="nil"/>
              <w:bottom w:val="single" w:sz="4" w:space="0" w:color="000000"/>
              <w:right w:val="single" w:sz="4" w:space="0" w:color="000000"/>
            </w:tcBorders>
            <w:shd w:val="clear" w:color="auto" w:fill="auto"/>
            <w:vAlign w:val="center"/>
            <w:hideMark/>
          </w:tcPr>
          <w:p w14:paraId="2CDBFCA2"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OPĆI PRIHODI I PRIMICI</w:t>
            </w:r>
          </w:p>
        </w:tc>
        <w:tc>
          <w:tcPr>
            <w:tcW w:w="1296" w:type="dxa"/>
            <w:tcBorders>
              <w:top w:val="nil"/>
              <w:left w:val="nil"/>
              <w:bottom w:val="single" w:sz="4" w:space="0" w:color="000000"/>
              <w:right w:val="single" w:sz="4" w:space="0" w:color="000000"/>
            </w:tcBorders>
            <w:shd w:val="clear" w:color="auto" w:fill="auto"/>
            <w:vAlign w:val="center"/>
            <w:hideMark/>
          </w:tcPr>
          <w:p w14:paraId="0E77A7C0"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396.775,00</w:t>
            </w:r>
          </w:p>
        </w:tc>
        <w:tc>
          <w:tcPr>
            <w:tcW w:w="2410" w:type="dxa"/>
            <w:tcBorders>
              <w:top w:val="nil"/>
              <w:left w:val="nil"/>
              <w:bottom w:val="single" w:sz="4" w:space="0" w:color="000000"/>
              <w:right w:val="single" w:sz="4" w:space="0" w:color="000000"/>
            </w:tcBorders>
            <w:shd w:val="clear" w:color="auto" w:fill="auto"/>
            <w:vAlign w:val="center"/>
            <w:hideMark/>
          </w:tcPr>
          <w:p w14:paraId="1F6B1C83"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336.666,51</w:t>
            </w:r>
          </w:p>
        </w:tc>
        <w:tc>
          <w:tcPr>
            <w:tcW w:w="910" w:type="dxa"/>
            <w:tcBorders>
              <w:top w:val="nil"/>
              <w:left w:val="nil"/>
              <w:bottom w:val="single" w:sz="4" w:space="0" w:color="000000"/>
              <w:right w:val="single" w:sz="4" w:space="0" w:color="000000"/>
            </w:tcBorders>
            <w:shd w:val="clear" w:color="auto" w:fill="auto"/>
            <w:vAlign w:val="center"/>
            <w:hideMark/>
          </w:tcPr>
          <w:p w14:paraId="6B31840F"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84,85</w:t>
            </w:r>
          </w:p>
        </w:tc>
        <w:tc>
          <w:tcPr>
            <w:tcW w:w="1130" w:type="dxa"/>
            <w:tcBorders>
              <w:top w:val="nil"/>
              <w:left w:val="nil"/>
              <w:bottom w:val="nil"/>
              <w:right w:val="nil"/>
            </w:tcBorders>
            <w:shd w:val="clear" w:color="auto" w:fill="auto"/>
            <w:noWrap/>
            <w:vAlign w:val="bottom"/>
            <w:hideMark/>
          </w:tcPr>
          <w:p w14:paraId="65A435AC"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3BDEBEEA"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BEF50C9"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Izvor financiranja   03</w:t>
            </w:r>
          </w:p>
        </w:tc>
        <w:tc>
          <w:tcPr>
            <w:tcW w:w="3118" w:type="dxa"/>
            <w:tcBorders>
              <w:top w:val="nil"/>
              <w:left w:val="nil"/>
              <w:bottom w:val="single" w:sz="4" w:space="0" w:color="000000"/>
              <w:right w:val="single" w:sz="4" w:space="0" w:color="000000"/>
            </w:tcBorders>
            <w:shd w:val="clear" w:color="auto" w:fill="auto"/>
            <w:vAlign w:val="center"/>
            <w:hideMark/>
          </w:tcPr>
          <w:p w14:paraId="36FAFF1E"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VLASTITI PRIHODI</w:t>
            </w:r>
          </w:p>
        </w:tc>
        <w:tc>
          <w:tcPr>
            <w:tcW w:w="1296" w:type="dxa"/>
            <w:tcBorders>
              <w:top w:val="nil"/>
              <w:left w:val="nil"/>
              <w:bottom w:val="single" w:sz="4" w:space="0" w:color="000000"/>
              <w:right w:val="single" w:sz="4" w:space="0" w:color="000000"/>
            </w:tcBorders>
            <w:shd w:val="clear" w:color="auto" w:fill="auto"/>
            <w:vAlign w:val="center"/>
            <w:hideMark/>
          </w:tcPr>
          <w:p w14:paraId="561A026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10,00</w:t>
            </w:r>
          </w:p>
        </w:tc>
        <w:tc>
          <w:tcPr>
            <w:tcW w:w="2410" w:type="dxa"/>
            <w:tcBorders>
              <w:top w:val="nil"/>
              <w:left w:val="nil"/>
              <w:bottom w:val="single" w:sz="4" w:space="0" w:color="000000"/>
              <w:right w:val="single" w:sz="4" w:space="0" w:color="000000"/>
            </w:tcBorders>
            <w:shd w:val="clear" w:color="auto" w:fill="auto"/>
            <w:vAlign w:val="center"/>
            <w:hideMark/>
          </w:tcPr>
          <w:p w14:paraId="3EDB27D3"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78938D89"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1130" w:type="dxa"/>
            <w:tcBorders>
              <w:top w:val="nil"/>
              <w:left w:val="nil"/>
              <w:bottom w:val="nil"/>
              <w:right w:val="nil"/>
            </w:tcBorders>
            <w:shd w:val="clear" w:color="auto" w:fill="auto"/>
            <w:noWrap/>
            <w:vAlign w:val="bottom"/>
            <w:hideMark/>
          </w:tcPr>
          <w:p w14:paraId="4FA9B056"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31517633"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B4EF185"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Izvor financiranja   05</w:t>
            </w:r>
          </w:p>
        </w:tc>
        <w:tc>
          <w:tcPr>
            <w:tcW w:w="3118" w:type="dxa"/>
            <w:tcBorders>
              <w:top w:val="nil"/>
              <w:left w:val="nil"/>
              <w:bottom w:val="single" w:sz="4" w:space="0" w:color="000000"/>
              <w:right w:val="single" w:sz="4" w:space="0" w:color="000000"/>
            </w:tcBorders>
            <w:shd w:val="clear" w:color="auto" w:fill="auto"/>
            <w:vAlign w:val="center"/>
            <w:hideMark/>
          </w:tcPr>
          <w:p w14:paraId="4E946557"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POMOĆI</w:t>
            </w:r>
          </w:p>
        </w:tc>
        <w:tc>
          <w:tcPr>
            <w:tcW w:w="1296" w:type="dxa"/>
            <w:tcBorders>
              <w:top w:val="nil"/>
              <w:left w:val="nil"/>
              <w:bottom w:val="single" w:sz="4" w:space="0" w:color="000000"/>
              <w:right w:val="single" w:sz="4" w:space="0" w:color="000000"/>
            </w:tcBorders>
            <w:shd w:val="clear" w:color="auto" w:fill="auto"/>
            <w:vAlign w:val="center"/>
            <w:hideMark/>
          </w:tcPr>
          <w:p w14:paraId="2E00955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427.515,00</w:t>
            </w:r>
          </w:p>
        </w:tc>
        <w:tc>
          <w:tcPr>
            <w:tcW w:w="2410" w:type="dxa"/>
            <w:tcBorders>
              <w:top w:val="nil"/>
              <w:left w:val="nil"/>
              <w:bottom w:val="single" w:sz="4" w:space="0" w:color="000000"/>
              <w:right w:val="single" w:sz="4" w:space="0" w:color="000000"/>
            </w:tcBorders>
            <w:shd w:val="clear" w:color="auto" w:fill="auto"/>
            <w:vAlign w:val="center"/>
            <w:hideMark/>
          </w:tcPr>
          <w:p w14:paraId="676E298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400.551,38</w:t>
            </w:r>
          </w:p>
        </w:tc>
        <w:tc>
          <w:tcPr>
            <w:tcW w:w="910" w:type="dxa"/>
            <w:tcBorders>
              <w:top w:val="nil"/>
              <w:left w:val="nil"/>
              <w:bottom w:val="single" w:sz="4" w:space="0" w:color="000000"/>
              <w:right w:val="single" w:sz="4" w:space="0" w:color="000000"/>
            </w:tcBorders>
            <w:shd w:val="clear" w:color="auto" w:fill="auto"/>
            <w:vAlign w:val="center"/>
            <w:hideMark/>
          </w:tcPr>
          <w:p w14:paraId="083C3B13"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93,69</w:t>
            </w:r>
          </w:p>
        </w:tc>
        <w:tc>
          <w:tcPr>
            <w:tcW w:w="1130" w:type="dxa"/>
            <w:tcBorders>
              <w:top w:val="nil"/>
              <w:left w:val="nil"/>
              <w:bottom w:val="nil"/>
              <w:right w:val="nil"/>
            </w:tcBorders>
            <w:shd w:val="clear" w:color="auto" w:fill="auto"/>
            <w:noWrap/>
            <w:vAlign w:val="bottom"/>
            <w:hideMark/>
          </w:tcPr>
          <w:p w14:paraId="09B2F443"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24F46DA3"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D303D6C"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Izvor financiranja   07</w:t>
            </w:r>
          </w:p>
        </w:tc>
        <w:tc>
          <w:tcPr>
            <w:tcW w:w="3118" w:type="dxa"/>
            <w:tcBorders>
              <w:top w:val="nil"/>
              <w:left w:val="nil"/>
              <w:bottom w:val="single" w:sz="4" w:space="0" w:color="000000"/>
              <w:right w:val="single" w:sz="4" w:space="0" w:color="000000"/>
            </w:tcBorders>
            <w:shd w:val="clear" w:color="auto" w:fill="auto"/>
            <w:vAlign w:val="center"/>
            <w:hideMark/>
          </w:tcPr>
          <w:p w14:paraId="5EB1293B"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PRIHODI OD PRODAJE IMOVINE I NAKNADE S NASLOVA OSIGURANJA</w:t>
            </w:r>
          </w:p>
        </w:tc>
        <w:tc>
          <w:tcPr>
            <w:tcW w:w="1296" w:type="dxa"/>
            <w:tcBorders>
              <w:top w:val="nil"/>
              <w:left w:val="nil"/>
              <w:bottom w:val="single" w:sz="4" w:space="0" w:color="000000"/>
              <w:right w:val="single" w:sz="4" w:space="0" w:color="000000"/>
            </w:tcBorders>
            <w:shd w:val="clear" w:color="auto" w:fill="auto"/>
            <w:vAlign w:val="center"/>
            <w:hideMark/>
          </w:tcPr>
          <w:p w14:paraId="4D87A3D6"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760,00</w:t>
            </w:r>
          </w:p>
        </w:tc>
        <w:tc>
          <w:tcPr>
            <w:tcW w:w="2410" w:type="dxa"/>
            <w:tcBorders>
              <w:top w:val="nil"/>
              <w:left w:val="nil"/>
              <w:bottom w:val="single" w:sz="4" w:space="0" w:color="000000"/>
              <w:right w:val="single" w:sz="4" w:space="0" w:color="000000"/>
            </w:tcBorders>
            <w:shd w:val="clear" w:color="auto" w:fill="auto"/>
            <w:vAlign w:val="center"/>
            <w:hideMark/>
          </w:tcPr>
          <w:p w14:paraId="67A515B1"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739,28</w:t>
            </w:r>
          </w:p>
        </w:tc>
        <w:tc>
          <w:tcPr>
            <w:tcW w:w="910" w:type="dxa"/>
            <w:tcBorders>
              <w:top w:val="nil"/>
              <w:left w:val="nil"/>
              <w:bottom w:val="single" w:sz="4" w:space="0" w:color="000000"/>
              <w:right w:val="single" w:sz="4" w:space="0" w:color="000000"/>
            </w:tcBorders>
            <w:shd w:val="clear" w:color="auto" w:fill="auto"/>
            <w:vAlign w:val="center"/>
            <w:hideMark/>
          </w:tcPr>
          <w:p w14:paraId="433E160C"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97,27</w:t>
            </w:r>
          </w:p>
        </w:tc>
        <w:tc>
          <w:tcPr>
            <w:tcW w:w="1130" w:type="dxa"/>
            <w:tcBorders>
              <w:top w:val="nil"/>
              <w:left w:val="nil"/>
              <w:bottom w:val="nil"/>
              <w:right w:val="nil"/>
            </w:tcBorders>
            <w:shd w:val="clear" w:color="auto" w:fill="auto"/>
            <w:noWrap/>
            <w:vAlign w:val="bottom"/>
            <w:hideMark/>
          </w:tcPr>
          <w:p w14:paraId="3FE08FAB"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542A1BE4" w14:textId="77777777" w:rsidTr="00F52211">
        <w:trPr>
          <w:trHeight w:val="66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01EC9E0"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PROGRAM    1013</w:t>
            </w:r>
          </w:p>
        </w:tc>
        <w:tc>
          <w:tcPr>
            <w:tcW w:w="3118" w:type="dxa"/>
            <w:tcBorders>
              <w:top w:val="nil"/>
              <w:left w:val="nil"/>
              <w:bottom w:val="single" w:sz="4" w:space="0" w:color="000000"/>
              <w:right w:val="single" w:sz="4" w:space="0" w:color="000000"/>
            </w:tcBorders>
            <w:shd w:val="clear" w:color="auto" w:fill="auto"/>
            <w:vAlign w:val="center"/>
            <w:hideMark/>
          </w:tcPr>
          <w:p w14:paraId="4833710A"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STRATEŠKO PLANIRANJE, REGIONALNI I RURALNI RAZVOJ TE POTICANJE PODUZETNIŠTVA</w:t>
            </w:r>
          </w:p>
        </w:tc>
        <w:tc>
          <w:tcPr>
            <w:tcW w:w="1296" w:type="dxa"/>
            <w:tcBorders>
              <w:top w:val="nil"/>
              <w:left w:val="nil"/>
              <w:bottom w:val="single" w:sz="4" w:space="0" w:color="000000"/>
              <w:right w:val="single" w:sz="4" w:space="0" w:color="000000"/>
            </w:tcBorders>
            <w:shd w:val="clear" w:color="auto" w:fill="auto"/>
            <w:vAlign w:val="center"/>
            <w:hideMark/>
          </w:tcPr>
          <w:p w14:paraId="78845E3A"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825.060,00</w:t>
            </w:r>
          </w:p>
        </w:tc>
        <w:tc>
          <w:tcPr>
            <w:tcW w:w="2410" w:type="dxa"/>
            <w:tcBorders>
              <w:top w:val="nil"/>
              <w:left w:val="nil"/>
              <w:bottom w:val="single" w:sz="4" w:space="0" w:color="000000"/>
              <w:right w:val="single" w:sz="4" w:space="0" w:color="000000"/>
            </w:tcBorders>
            <w:shd w:val="clear" w:color="auto" w:fill="auto"/>
            <w:vAlign w:val="center"/>
            <w:hideMark/>
          </w:tcPr>
          <w:p w14:paraId="091FCFDC"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737.957,17</w:t>
            </w:r>
          </w:p>
        </w:tc>
        <w:tc>
          <w:tcPr>
            <w:tcW w:w="910" w:type="dxa"/>
            <w:tcBorders>
              <w:top w:val="nil"/>
              <w:left w:val="nil"/>
              <w:bottom w:val="single" w:sz="4" w:space="0" w:color="000000"/>
              <w:right w:val="single" w:sz="4" w:space="0" w:color="000000"/>
            </w:tcBorders>
            <w:shd w:val="clear" w:color="auto" w:fill="auto"/>
            <w:vAlign w:val="center"/>
            <w:hideMark/>
          </w:tcPr>
          <w:p w14:paraId="2475D6E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89,44</w:t>
            </w:r>
          </w:p>
        </w:tc>
        <w:tc>
          <w:tcPr>
            <w:tcW w:w="1130" w:type="dxa"/>
            <w:tcBorders>
              <w:top w:val="nil"/>
              <w:left w:val="nil"/>
              <w:bottom w:val="nil"/>
              <w:right w:val="nil"/>
            </w:tcBorders>
            <w:shd w:val="clear" w:color="auto" w:fill="auto"/>
            <w:noWrap/>
            <w:vAlign w:val="bottom"/>
            <w:hideMark/>
          </w:tcPr>
          <w:p w14:paraId="57C24DA8"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69EC4816"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E7CEF50"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Kapitalni projekt K100014</w:t>
            </w:r>
          </w:p>
        </w:tc>
        <w:tc>
          <w:tcPr>
            <w:tcW w:w="3118" w:type="dxa"/>
            <w:tcBorders>
              <w:top w:val="nil"/>
              <w:left w:val="nil"/>
              <w:bottom w:val="single" w:sz="4" w:space="0" w:color="000000"/>
              <w:right w:val="single" w:sz="4" w:space="0" w:color="000000"/>
            </w:tcBorders>
            <w:shd w:val="clear" w:color="auto" w:fill="auto"/>
            <w:vAlign w:val="center"/>
            <w:hideMark/>
          </w:tcPr>
          <w:p w14:paraId="49F5C912"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NABAVA OPREME ZA RAZVOJNU AGENCIJU</w:t>
            </w:r>
          </w:p>
        </w:tc>
        <w:tc>
          <w:tcPr>
            <w:tcW w:w="1296" w:type="dxa"/>
            <w:tcBorders>
              <w:top w:val="nil"/>
              <w:left w:val="nil"/>
              <w:bottom w:val="single" w:sz="4" w:space="0" w:color="000000"/>
              <w:right w:val="single" w:sz="4" w:space="0" w:color="000000"/>
            </w:tcBorders>
            <w:shd w:val="clear" w:color="auto" w:fill="auto"/>
            <w:vAlign w:val="center"/>
            <w:hideMark/>
          </w:tcPr>
          <w:p w14:paraId="752F9EDD"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1.000,00</w:t>
            </w:r>
          </w:p>
        </w:tc>
        <w:tc>
          <w:tcPr>
            <w:tcW w:w="2410" w:type="dxa"/>
            <w:tcBorders>
              <w:top w:val="nil"/>
              <w:left w:val="nil"/>
              <w:bottom w:val="single" w:sz="4" w:space="0" w:color="000000"/>
              <w:right w:val="single" w:sz="4" w:space="0" w:color="000000"/>
            </w:tcBorders>
            <w:shd w:val="clear" w:color="auto" w:fill="auto"/>
            <w:vAlign w:val="center"/>
            <w:hideMark/>
          </w:tcPr>
          <w:p w14:paraId="3EEE70A2"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5C63C380"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0,00</w:t>
            </w:r>
          </w:p>
        </w:tc>
        <w:tc>
          <w:tcPr>
            <w:tcW w:w="1130" w:type="dxa"/>
            <w:tcBorders>
              <w:top w:val="nil"/>
              <w:left w:val="nil"/>
              <w:bottom w:val="nil"/>
              <w:right w:val="nil"/>
            </w:tcBorders>
            <w:shd w:val="clear" w:color="auto" w:fill="auto"/>
            <w:noWrap/>
            <w:vAlign w:val="bottom"/>
            <w:hideMark/>
          </w:tcPr>
          <w:p w14:paraId="7A4FFEBB"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48177F95"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8967372"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01</w:t>
            </w:r>
          </w:p>
        </w:tc>
        <w:tc>
          <w:tcPr>
            <w:tcW w:w="3118" w:type="dxa"/>
            <w:tcBorders>
              <w:top w:val="nil"/>
              <w:left w:val="nil"/>
              <w:bottom w:val="single" w:sz="4" w:space="0" w:color="000000"/>
              <w:right w:val="single" w:sz="4" w:space="0" w:color="000000"/>
            </w:tcBorders>
            <w:shd w:val="clear" w:color="auto" w:fill="auto"/>
            <w:vAlign w:val="center"/>
            <w:hideMark/>
          </w:tcPr>
          <w:p w14:paraId="2ED7B521"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OPĆI PRIHODI I PRIMICI</w:t>
            </w:r>
          </w:p>
        </w:tc>
        <w:tc>
          <w:tcPr>
            <w:tcW w:w="1296" w:type="dxa"/>
            <w:tcBorders>
              <w:top w:val="nil"/>
              <w:left w:val="nil"/>
              <w:bottom w:val="single" w:sz="4" w:space="0" w:color="000000"/>
              <w:right w:val="single" w:sz="4" w:space="0" w:color="000000"/>
            </w:tcBorders>
            <w:shd w:val="clear" w:color="auto" w:fill="auto"/>
            <w:vAlign w:val="center"/>
            <w:hideMark/>
          </w:tcPr>
          <w:p w14:paraId="244C8F3A"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1.000,00</w:t>
            </w:r>
          </w:p>
        </w:tc>
        <w:tc>
          <w:tcPr>
            <w:tcW w:w="2410" w:type="dxa"/>
            <w:tcBorders>
              <w:top w:val="nil"/>
              <w:left w:val="nil"/>
              <w:bottom w:val="single" w:sz="4" w:space="0" w:color="000000"/>
              <w:right w:val="single" w:sz="4" w:space="0" w:color="000000"/>
            </w:tcBorders>
            <w:shd w:val="clear" w:color="auto" w:fill="auto"/>
            <w:vAlign w:val="center"/>
            <w:hideMark/>
          </w:tcPr>
          <w:p w14:paraId="281F6E8D"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58E0DFD4"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1130" w:type="dxa"/>
            <w:tcBorders>
              <w:top w:val="nil"/>
              <w:left w:val="nil"/>
              <w:bottom w:val="nil"/>
              <w:right w:val="nil"/>
            </w:tcBorders>
            <w:shd w:val="clear" w:color="auto" w:fill="auto"/>
            <w:noWrap/>
            <w:vAlign w:val="bottom"/>
            <w:hideMark/>
          </w:tcPr>
          <w:p w14:paraId="45F7A23B"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234BD425"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886624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w:t>
            </w:r>
          </w:p>
        </w:tc>
        <w:tc>
          <w:tcPr>
            <w:tcW w:w="3118" w:type="dxa"/>
            <w:tcBorders>
              <w:top w:val="nil"/>
              <w:left w:val="nil"/>
              <w:bottom w:val="single" w:sz="4" w:space="0" w:color="000000"/>
              <w:right w:val="single" w:sz="4" w:space="0" w:color="000000"/>
            </w:tcBorders>
            <w:shd w:val="clear" w:color="auto" w:fill="auto"/>
            <w:vAlign w:val="center"/>
            <w:hideMark/>
          </w:tcPr>
          <w:p w14:paraId="66750DE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nabavu proizvedene dugotrajne imovine</w:t>
            </w:r>
          </w:p>
        </w:tc>
        <w:tc>
          <w:tcPr>
            <w:tcW w:w="1296" w:type="dxa"/>
            <w:tcBorders>
              <w:top w:val="nil"/>
              <w:left w:val="nil"/>
              <w:bottom w:val="single" w:sz="4" w:space="0" w:color="000000"/>
              <w:right w:val="single" w:sz="4" w:space="0" w:color="000000"/>
            </w:tcBorders>
            <w:shd w:val="clear" w:color="auto" w:fill="auto"/>
            <w:vAlign w:val="center"/>
            <w:hideMark/>
          </w:tcPr>
          <w:p w14:paraId="33A2C45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1.000,00</w:t>
            </w:r>
          </w:p>
        </w:tc>
        <w:tc>
          <w:tcPr>
            <w:tcW w:w="2410" w:type="dxa"/>
            <w:tcBorders>
              <w:top w:val="nil"/>
              <w:left w:val="nil"/>
              <w:bottom w:val="single" w:sz="4" w:space="0" w:color="000000"/>
              <w:right w:val="single" w:sz="4" w:space="0" w:color="000000"/>
            </w:tcBorders>
            <w:shd w:val="clear" w:color="auto" w:fill="auto"/>
            <w:vAlign w:val="center"/>
            <w:hideMark/>
          </w:tcPr>
          <w:p w14:paraId="0652EF4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36B2876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130" w:type="dxa"/>
            <w:tcBorders>
              <w:top w:val="nil"/>
              <w:left w:val="nil"/>
              <w:bottom w:val="nil"/>
              <w:right w:val="nil"/>
            </w:tcBorders>
            <w:shd w:val="clear" w:color="auto" w:fill="auto"/>
            <w:noWrap/>
            <w:vAlign w:val="bottom"/>
            <w:hideMark/>
          </w:tcPr>
          <w:p w14:paraId="7A0169F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A26C374" w14:textId="77777777" w:rsidTr="00F52211">
        <w:trPr>
          <w:trHeight w:val="36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F1662F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4221</w:t>
            </w:r>
          </w:p>
        </w:tc>
        <w:tc>
          <w:tcPr>
            <w:tcW w:w="3118" w:type="dxa"/>
            <w:tcBorders>
              <w:top w:val="nil"/>
              <w:left w:val="nil"/>
              <w:bottom w:val="single" w:sz="4" w:space="0" w:color="000000"/>
              <w:right w:val="single" w:sz="4" w:space="0" w:color="000000"/>
            </w:tcBorders>
            <w:shd w:val="clear" w:color="auto" w:fill="auto"/>
            <w:vAlign w:val="center"/>
            <w:hideMark/>
          </w:tcPr>
          <w:p w14:paraId="08E04BB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Uredska oprema i namještaj</w:t>
            </w:r>
          </w:p>
        </w:tc>
        <w:tc>
          <w:tcPr>
            <w:tcW w:w="1296" w:type="dxa"/>
            <w:tcBorders>
              <w:top w:val="nil"/>
              <w:left w:val="nil"/>
              <w:bottom w:val="single" w:sz="4" w:space="0" w:color="000000"/>
              <w:right w:val="single" w:sz="4" w:space="0" w:color="000000"/>
            </w:tcBorders>
            <w:shd w:val="clear" w:color="auto" w:fill="auto"/>
            <w:vAlign w:val="center"/>
            <w:hideMark/>
          </w:tcPr>
          <w:p w14:paraId="1FC49F97" w14:textId="3DFA12D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52B38F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76358F7B" w14:textId="3DB0FDF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7FCE5884"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230C176" w14:textId="77777777" w:rsidTr="00F52211">
        <w:trPr>
          <w:trHeight w:val="66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C250A97"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Aktivnost A100025</w:t>
            </w:r>
          </w:p>
        </w:tc>
        <w:tc>
          <w:tcPr>
            <w:tcW w:w="3118" w:type="dxa"/>
            <w:tcBorders>
              <w:top w:val="nil"/>
              <w:left w:val="nil"/>
              <w:bottom w:val="single" w:sz="4" w:space="0" w:color="000000"/>
              <w:right w:val="single" w:sz="4" w:space="0" w:color="000000"/>
            </w:tcBorders>
            <w:shd w:val="clear" w:color="auto" w:fill="auto"/>
            <w:vAlign w:val="center"/>
            <w:hideMark/>
          </w:tcPr>
          <w:p w14:paraId="2414075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STRATEŠKO PLANIRANJE, REGIONALNI I RURALNI RAZVOJ, TE POTICANJE PODUZETNIŠTVA</w:t>
            </w:r>
          </w:p>
        </w:tc>
        <w:tc>
          <w:tcPr>
            <w:tcW w:w="1296" w:type="dxa"/>
            <w:tcBorders>
              <w:top w:val="nil"/>
              <w:left w:val="nil"/>
              <w:bottom w:val="single" w:sz="4" w:space="0" w:color="000000"/>
              <w:right w:val="single" w:sz="4" w:space="0" w:color="000000"/>
            </w:tcBorders>
            <w:shd w:val="clear" w:color="auto" w:fill="auto"/>
            <w:vAlign w:val="center"/>
            <w:hideMark/>
          </w:tcPr>
          <w:p w14:paraId="2F6A6F32"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223.690,00</w:t>
            </w:r>
          </w:p>
        </w:tc>
        <w:tc>
          <w:tcPr>
            <w:tcW w:w="2410" w:type="dxa"/>
            <w:tcBorders>
              <w:top w:val="nil"/>
              <w:left w:val="nil"/>
              <w:bottom w:val="single" w:sz="4" w:space="0" w:color="000000"/>
              <w:right w:val="single" w:sz="4" w:space="0" w:color="000000"/>
            </w:tcBorders>
            <w:shd w:val="clear" w:color="auto" w:fill="auto"/>
            <w:vAlign w:val="center"/>
            <w:hideMark/>
          </w:tcPr>
          <w:p w14:paraId="21389BCB"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217.420,21</w:t>
            </w:r>
          </w:p>
        </w:tc>
        <w:tc>
          <w:tcPr>
            <w:tcW w:w="910" w:type="dxa"/>
            <w:tcBorders>
              <w:top w:val="nil"/>
              <w:left w:val="nil"/>
              <w:bottom w:val="single" w:sz="4" w:space="0" w:color="000000"/>
              <w:right w:val="single" w:sz="4" w:space="0" w:color="000000"/>
            </w:tcBorders>
            <w:shd w:val="clear" w:color="auto" w:fill="auto"/>
            <w:vAlign w:val="center"/>
            <w:hideMark/>
          </w:tcPr>
          <w:p w14:paraId="13BD914B"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97,20</w:t>
            </w:r>
          </w:p>
        </w:tc>
        <w:tc>
          <w:tcPr>
            <w:tcW w:w="1130" w:type="dxa"/>
            <w:tcBorders>
              <w:top w:val="nil"/>
              <w:left w:val="nil"/>
              <w:bottom w:val="nil"/>
              <w:right w:val="nil"/>
            </w:tcBorders>
            <w:shd w:val="clear" w:color="auto" w:fill="auto"/>
            <w:noWrap/>
            <w:vAlign w:val="bottom"/>
            <w:hideMark/>
          </w:tcPr>
          <w:p w14:paraId="6A7B95DA"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5F5A36E4"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37A899C"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01</w:t>
            </w:r>
          </w:p>
        </w:tc>
        <w:tc>
          <w:tcPr>
            <w:tcW w:w="3118" w:type="dxa"/>
            <w:tcBorders>
              <w:top w:val="nil"/>
              <w:left w:val="nil"/>
              <w:bottom w:val="single" w:sz="4" w:space="0" w:color="000000"/>
              <w:right w:val="single" w:sz="4" w:space="0" w:color="000000"/>
            </w:tcBorders>
            <w:shd w:val="clear" w:color="auto" w:fill="auto"/>
            <w:vAlign w:val="center"/>
            <w:hideMark/>
          </w:tcPr>
          <w:p w14:paraId="4EFDF2EC"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OPĆI PRIHODI I PRIMICI</w:t>
            </w:r>
          </w:p>
        </w:tc>
        <w:tc>
          <w:tcPr>
            <w:tcW w:w="1296" w:type="dxa"/>
            <w:tcBorders>
              <w:top w:val="nil"/>
              <w:left w:val="nil"/>
              <w:bottom w:val="single" w:sz="4" w:space="0" w:color="000000"/>
              <w:right w:val="single" w:sz="4" w:space="0" w:color="000000"/>
            </w:tcBorders>
            <w:shd w:val="clear" w:color="auto" w:fill="auto"/>
            <w:vAlign w:val="center"/>
            <w:hideMark/>
          </w:tcPr>
          <w:p w14:paraId="7F5D2BFC"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222.920,00</w:t>
            </w:r>
          </w:p>
        </w:tc>
        <w:tc>
          <w:tcPr>
            <w:tcW w:w="2410" w:type="dxa"/>
            <w:tcBorders>
              <w:top w:val="nil"/>
              <w:left w:val="nil"/>
              <w:bottom w:val="single" w:sz="4" w:space="0" w:color="000000"/>
              <w:right w:val="single" w:sz="4" w:space="0" w:color="000000"/>
            </w:tcBorders>
            <w:shd w:val="clear" w:color="auto" w:fill="auto"/>
            <w:vAlign w:val="center"/>
            <w:hideMark/>
          </w:tcPr>
          <w:p w14:paraId="346D6419"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216.680,93</w:t>
            </w:r>
          </w:p>
        </w:tc>
        <w:tc>
          <w:tcPr>
            <w:tcW w:w="910" w:type="dxa"/>
            <w:tcBorders>
              <w:top w:val="nil"/>
              <w:left w:val="nil"/>
              <w:bottom w:val="single" w:sz="4" w:space="0" w:color="000000"/>
              <w:right w:val="single" w:sz="4" w:space="0" w:color="000000"/>
            </w:tcBorders>
            <w:shd w:val="clear" w:color="auto" w:fill="auto"/>
            <w:vAlign w:val="center"/>
            <w:hideMark/>
          </w:tcPr>
          <w:p w14:paraId="63A5EF2B"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97,20</w:t>
            </w:r>
          </w:p>
        </w:tc>
        <w:tc>
          <w:tcPr>
            <w:tcW w:w="1130" w:type="dxa"/>
            <w:tcBorders>
              <w:top w:val="nil"/>
              <w:left w:val="nil"/>
              <w:bottom w:val="nil"/>
              <w:right w:val="nil"/>
            </w:tcBorders>
            <w:shd w:val="clear" w:color="auto" w:fill="auto"/>
            <w:noWrap/>
            <w:vAlign w:val="bottom"/>
            <w:hideMark/>
          </w:tcPr>
          <w:p w14:paraId="6FD52786"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74C9DA53"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2F8A25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w:t>
            </w:r>
          </w:p>
        </w:tc>
        <w:tc>
          <w:tcPr>
            <w:tcW w:w="3118" w:type="dxa"/>
            <w:tcBorders>
              <w:top w:val="nil"/>
              <w:left w:val="nil"/>
              <w:bottom w:val="single" w:sz="4" w:space="0" w:color="000000"/>
              <w:right w:val="single" w:sz="4" w:space="0" w:color="000000"/>
            </w:tcBorders>
            <w:shd w:val="clear" w:color="auto" w:fill="auto"/>
            <w:vAlign w:val="center"/>
            <w:hideMark/>
          </w:tcPr>
          <w:p w14:paraId="3779CC5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zaposlene</w:t>
            </w:r>
          </w:p>
        </w:tc>
        <w:tc>
          <w:tcPr>
            <w:tcW w:w="1296" w:type="dxa"/>
            <w:tcBorders>
              <w:top w:val="nil"/>
              <w:left w:val="nil"/>
              <w:bottom w:val="single" w:sz="4" w:space="0" w:color="000000"/>
              <w:right w:val="single" w:sz="4" w:space="0" w:color="000000"/>
            </w:tcBorders>
            <w:shd w:val="clear" w:color="auto" w:fill="auto"/>
            <w:vAlign w:val="center"/>
            <w:hideMark/>
          </w:tcPr>
          <w:p w14:paraId="569FDC9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119.250,00</w:t>
            </w:r>
          </w:p>
        </w:tc>
        <w:tc>
          <w:tcPr>
            <w:tcW w:w="2410" w:type="dxa"/>
            <w:tcBorders>
              <w:top w:val="nil"/>
              <w:left w:val="nil"/>
              <w:bottom w:val="single" w:sz="4" w:space="0" w:color="000000"/>
              <w:right w:val="single" w:sz="4" w:space="0" w:color="000000"/>
            </w:tcBorders>
            <w:shd w:val="clear" w:color="auto" w:fill="auto"/>
            <w:vAlign w:val="center"/>
            <w:hideMark/>
          </w:tcPr>
          <w:p w14:paraId="4DDDC02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119.248,51</w:t>
            </w:r>
          </w:p>
        </w:tc>
        <w:tc>
          <w:tcPr>
            <w:tcW w:w="910" w:type="dxa"/>
            <w:tcBorders>
              <w:top w:val="nil"/>
              <w:left w:val="nil"/>
              <w:bottom w:val="single" w:sz="4" w:space="0" w:color="000000"/>
              <w:right w:val="single" w:sz="4" w:space="0" w:color="000000"/>
            </w:tcBorders>
            <w:shd w:val="clear" w:color="auto" w:fill="auto"/>
            <w:vAlign w:val="center"/>
            <w:hideMark/>
          </w:tcPr>
          <w:p w14:paraId="4F208BD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100,00</w:t>
            </w:r>
          </w:p>
        </w:tc>
        <w:tc>
          <w:tcPr>
            <w:tcW w:w="1130" w:type="dxa"/>
            <w:tcBorders>
              <w:top w:val="nil"/>
              <w:left w:val="nil"/>
              <w:bottom w:val="nil"/>
              <w:right w:val="nil"/>
            </w:tcBorders>
            <w:shd w:val="clear" w:color="auto" w:fill="auto"/>
            <w:noWrap/>
            <w:vAlign w:val="bottom"/>
            <w:hideMark/>
          </w:tcPr>
          <w:p w14:paraId="2EA115B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FC8326E" w14:textId="77777777" w:rsidTr="00F52211">
        <w:trPr>
          <w:trHeight w:val="436"/>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EC996B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3111</w:t>
            </w:r>
          </w:p>
        </w:tc>
        <w:tc>
          <w:tcPr>
            <w:tcW w:w="3118" w:type="dxa"/>
            <w:tcBorders>
              <w:top w:val="nil"/>
              <w:left w:val="nil"/>
              <w:bottom w:val="single" w:sz="4" w:space="0" w:color="000000"/>
              <w:right w:val="single" w:sz="4" w:space="0" w:color="000000"/>
            </w:tcBorders>
            <w:shd w:val="clear" w:color="auto" w:fill="auto"/>
            <w:vAlign w:val="center"/>
            <w:hideMark/>
          </w:tcPr>
          <w:p w14:paraId="16A8C2C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Plaće za redovan rad</w:t>
            </w:r>
          </w:p>
        </w:tc>
        <w:tc>
          <w:tcPr>
            <w:tcW w:w="1296" w:type="dxa"/>
            <w:tcBorders>
              <w:top w:val="nil"/>
              <w:left w:val="nil"/>
              <w:bottom w:val="single" w:sz="4" w:space="0" w:color="000000"/>
              <w:right w:val="single" w:sz="4" w:space="0" w:color="000000"/>
            </w:tcBorders>
            <w:shd w:val="clear" w:color="auto" w:fill="auto"/>
            <w:vAlign w:val="center"/>
            <w:hideMark/>
          </w:tcPr>
          <w:p w14:paraId="63451858" w14:textId="4A0CF534"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CC3CFD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67.198,96</w:t>
            </w:r>
          </w:p>
        </w:tc>
        <w:tc>
          <w:tcPr>
            <w:tcW w:w="910" w:type="dxa"/>
            <w:tcBorders>
              <w:top w:val="nil"/>
              <w:left w:val="nil"/>
              <w:bottom w:val="single" w:sz="4" w:space="0" w:color="000000"/>
              <w:right w:val="single" w:sz="4" w:space="0" w:color="000000"/>
            </w:tcBorders>
            <w:shd w:val="clear" w:color="auto" w:fill="auto"/>
            <w:vAlign w:val="center"/>
            <w:hideMark/>
          </w:tcPr>
          <w:p w14:paraId="2F087BB0" w14:textId="6E27B65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737DE50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4499195" w14:textId="77777777" w:rsidTr="00F52211">
        <w:trPr>
          <w:trHeight w:val="48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E438D9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3121</w:t>
            </w:r>
          </w:p>
        </w:tc>
        <w:tc>
          <w:tcPr>
            <w:tcW w:w="3118" w:type="dxa"/>
            <w:tcBorders>
              <w:top w:val="nil"/>
              <w:left w:val="nil"/>
              <w:bottom w:val="single" w:sz="4" w:space="0" w:color="000000"/>
              <w:right w:val="single" w:sz="4" w:space="0" w:color="000000"/>
            </w:tcBorders>
            <w:shd w:val="clear" w:color="auto" w:fill="auto"/>
            <w:vAlign w:val="center"/>
            <w:hideMark/>
          </w:tcPr>
          <w:p w14:paraId="009B955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rashodi za zaposlene</w:t>
            </w:r>
          </w:p>
        </w:tc>
        <w:tc>
          <w:tcPr>
            <w:tcW w:w="1296" w:type="dxa"/>
            <w:tcBorders>
              <w:top w:val="nil"/>
              <w:left w:val="nil"/>
              <w:bottom w:val="single" w:sz="4" w:space="0" w:color="000000"/>
              <w:right w:val="single" w:sz="4" w:space="0" w:color="000000"/>
            </w:tcBorders>
            <w:shd w:val="clear" w:color="auto" w:fill="auto"/>
            <w:vAlign w:val="center"/>
            <w:hideMark/>
          </w:tcPr>
          <w:p w14:paraId="6BBD59DC" w14:textId="048BEBE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A2D47A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36.775,80</w:t>
            </w:r>
          </w:p>
        </w:tc>
        <w:tc>
          <w:tcPr>
            <w:tcW w:w="910" w:type="dxa"/>
            <w:tcBorders>
              <w:top w:val="nil"/>
              <w:left w:val="nil"/>
              <w:bottom w:val="single" w:sz="4" w:space="0" w:color="000000"/>
              <w:right w:val="single" w:sz="4" w:space="0" w:color="000000"/>
            </w:tcBorders>
            <w:shd w:val="clear" w:color="auto" w:fill="auto"/>
            <w:vAlign w:val="center"/>
            <w:hideMark/>
          </w:tcPr>
          <w:p w14:paraId="1622CB48" w14:textId="06E58F6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FDD351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11735FF"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562FB1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3132</w:t>
            </w:r>
          </w:p>
        </w:tc>
        <w:tc>
          <w:tcPr>
            <w:tcW w:w="3118" w:type="dxa"/>
            <w:tcBorders>
              <w:top w:val="nil"/>
              <w:left w:val="nil"/>
              <w:bottom w:val="single" w:sz="4" w:space="0" w:color="000000"/>
              <w:right w:val="single" w:sz="4" w:space="0" w:color="000000"/>
            </w:tcBorders>
            <w:shd w:val="clear" w:color="auto" w:fill="auto"/>
            <w:vAlign w:val="center"/>
            <w:hideMark/>
          </w:tcPr>
          <w:p w14:paraId="0148564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Doprinosi za obvezno zdravstveno osiguranje</w:t>
            </w:r>
          </w:p>
        </w:tc>
        <w:tc>
          <w:tcPr>
            <w:tcW w:w="1296" w:type="dxa"/>
            <w:tcBorders>
              <w:top w:val="nil"/>
              <w:left w:val="nil"/>
              <w:bottom w:val="single" w:sz="4" w:space="0" w:color="000000"/>
              <w:right w:val="single" w:sz="4" w:space="0" w:color="000000"/>
            </w:tcBorders>
            <w:shd w:val="clear" w:color="auto" w:fill="auto"/>
            <w:vAlign w:val="center"/>
            <w:hideMark/>
          </w:tcPr>
          <w:p w14:paraId="4F2304B0" w14:textId="2FBC1D4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D77A96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15.273,75</w:t>
            </w:r>
          </w:p>
        </w:tc>
        <w:tc>
          <w:tcPr>
            <w:tcW w:w="910" w:type="dxa"/>
            <w:tcBorders>
              <w:top w:val="nil"/>
              <w:left w:val="nil"/>
              <w:bottom w:val="single" w:sz="4" w:space="0" w:color="000000"/>
              <w:right w:val="single" w:sz="4" w:space="0" w:color="000000"/>
            </w:tcBorders>
            <w:shd w:val="clear" w:color="auto" w:fill="auto"/>
            <w:vAlign w:val="center"/>
            <w:hideMark/>
          </w:tcPr>
          <w:p w14:paraId="42ABCFEE" w14:textId="5EBB9D4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5454B7A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EA7692E"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27F62C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w:t>
            </w:r>
          </w:p>
        </w:tc>
        <w:tc>
          <w:tcPr>
            <w:tcW w:w="3118" w:type="dxa"/>
            <w:tcBorders>
              <w:top w:val="nil"/>
              <w:left w:val="nil"/>
              <w:bottom w:val="single" w:sz="4" w:space="0" w:color="000000"/>
              <w:right w:val="single" w:sz="4" w:space="0" w:color="000000"/>
            </w:tcBorders>
            <w:shd w:val="clear" w:color="auto" w:fill="auto"/>
            <w:vAlign w:val="center"/>
            <w:hideMark/>
          </w:tcPr>
          <w:p w14:paraId="6BFD891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7882246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103.670,00</w:t>
            </w:r>
          </w:p>
        </w:tc>
        <w:tc>
          <w:tcPr>
            <w:tcW w:w="2410" w:type="dxa"/>
            <w:tcBorders>
              <w:top w:val="nil"/>
              <w:left w:val="nil"/>
              <w:bottom w:val="single" w:sz="4" w:space="0" w:color="000000"/>
              <w:right w:val="single" w:sz="4" w:space="0" w:color="000000"/>
            </w:tcBorders>
            <w:shd w:val="clear" w:color="auto" w:fill="auto"/>
            <w:vAlign w:val="center"/>
            <w:hideMark/>
          </w:tcPr>
          <w:p w14:paraId="33BB98E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97.432,42</w:t>
            </w:r>
          </w:p>
        </w:tc>
        <w:tc>
          <w:tcPr>
            <w:tcW w:w="910" w:type="dxa"/>
            <w:tcBorders>
              <w:top w:val="nil"/>
              <w:left w:val="nil"/>
              <w:bottom w:val="single" w:sz="4" w:space="0" w:color="000000"/>
              <w:right w:val="single" w:sz="4" w:space="0" w:color="000000"/>
            </w:tcBorders>
            <w:shd w:val="clear" w:color="auto" w:fill="auto"/>
            <w:vAlign w:val="center"/>
            <w:hideMark/>
          </w:tcPr>
          <w:p w14:paraId="3EE597C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93,98</w:t>
            </w:r>
          </w:p>
        </w:tc>
        <w:tc>
          <w:tcPr>
            <w:tcW w:w="1130" w:type="dxa"/>
            <w:tcBorders>
              <w:top w:val="nil"/>
              <w:left w:val="nil"/>
              <w:bottom w:val="nil"/>
              <w:right w:val="nil"/>
            </w:tcBorders>
            <w:shd w:val="clear" w:color="auto" w:fill="auto"/>
            <w:noWrap/>
            <w:vAlign w:val="bottom"/>
            <w:hideMark/>
          </w:tcPr>
          <w:p w14:paraId="08FCA089"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1000808" w14:textId="77777777" w:rsidTr="00F52211">
        <w:trPr>
          <w:trHeight w:val="39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77AF98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3211</w:t>
            </w:r>
          </w:p>
        </w:tc>
        <w:tc>
          <w:tcPr>
            <w:tcW w:w="3118" w:type="dxa"/>
            <w:tcBorders>
              <w:top w:val="nil"/>
              <w:left w:val="nil"/>
              <w:bottom w:val="single" w:sz="4" w:space="0" w:color="000000"/>
              <w:right w:val="single" w:sz="4" w:space="0" w:color="000000"/>
            </w:tcBorders>
            <w:shd w:val="clear" w:color="auto" w:fill="auto"/>
            <w:vAlign w:val="center"/>
            <w:hideMark/>
          </w:tcPr>
          <w:p w14:paraId="23C2A40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Službena putovanja</w:t>
            </w:r>
          </w:p>
        </w:tc>
        <w:tc>
          <w:tcPr>
            <w:tcW w:w="1296" w:type="dxa"/>
            <w:tcBorders>
              <w:top w:val="nil"/>
              <w:left w:val="nil"/>
              <w:bottom w:val="single" w:sz="4" w:space="0" w:color="000000"/>
              <w:right w:val="single" w:sz="4" w:space="0" w:color="000000"/>
            </w:tcBorders>
            <w:shd w:val="clear" w:color="auto" w:fill="auto"/>
            <w:vAlign w:val="center"/>
            <w:hideMark/>
          </w:tcPr>
          <w:p w14:paraId="7D1A818B" w14:textId="5E8DBC5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CE8A0C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8.692,24</w:t>
            </w:r>
          </w:p>
        </w:tc>
        <w:tc>
          <w:tcPr>
            <w:tcW w:w="910" w:type="dxa"/>
            <w:tcBorders>
              <w:top w:val="nil"/>
              <w:left w:val="nil"/>
              <w:bottom w:val="single" w:sz="4" w:space="0" w:color="000000"/>
              <w:right w:val="single" w:sz="4" w:space="0" w:color="000000"/>
            </w:tcBorders>
            <w:shd w:val="clear" w:color="auto" w:fill="auto"/>
            <w:vAlign w:val="center"/>
            <w:hideMark/>
          </w:tcPr>
          <w:p w14:paraId="036C4F01" w14:textId="7E7FC9C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6D1F9E12"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953780C"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940FF8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3212</w:t>
            </w:r>
          </w:p>
        </w:tc>
        <w:tc>
          <w:tcPr>
            <w:tcW w:w="3118" w:type="dxa"/>
            <w:tcBorders>
              <w:top w:val="nil"/>
              <w:left w:val="nil"/>
              <w:bottom w:val="single" w:sz="4" w:space="0" w:color="000000"/>
              <w:right w:val="single" w:sz="4" w:space="0" w:color="000000"/>
            </w:tcBorders>
            <w:shd w:val="clear" w:color="auto" w:fill="auto"/>
            <w:vAlign w:val="center"/>
            <w:hideMark/>
          </w:tcPr>
          <w:p w14:paraId="3D98028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za prijevoz, za rad na terenu i odvojeni život</w:t>
            </w:r>
          </w:p>
        </w:tc>
        <w:tc>
          <w:tcPr>
            <w:tcW w:w="1296" w:type="dxa"/>
            <w:tcBorders>
              <w:top w:val="nil"/>
              <w:left w:val="nil"/>
              <w:bottom w:val="single" w:sz="4" w:space="0" w:color="000000"/>
              <w:right w:val="single" w:sz="4" w:space="0" w:color="000000"/>
            </w:tcBorders>
            <w:shd w:val="clear" w:color="auto" w:fill="auto"/>
            <w:vAlign w:val="center"/>
            <w:hideMark/>
          </w:tcPr>
          <w:p w14:paraId="0BA529F8" w14:textId="076D6FA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A47C26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11.753,53</w:t>
            </w:r>
          </w:p>
        </w:tc>
        <w:tc>
          <w:tcPr>
            <w:tcW w:w="910" w:type="dxa"/>
            <w:tcBorders>
              <w:top w:val="nil"/>
              <w:left w:val="nil"/>
              <w:bottom w:val="single" w:sz="4" w:space="0" w:color="000000"/>
              <w:right w:val="single" w:sz="4" w:space="0" w:color="000000"/>
            </w:tcBorders>
            <w:shd w:val="clear" w:color="auto" w:fill="auto"/>
            <w:vAlign w:val="center"/>
            <w:hideMark/>
          </w:tcPr>
          <w:p w14:paraId="0DFA6CF9" w14:textId="0C620E4D"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5B3347B9"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80EDC95"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231372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3213</w:t>
            </w:r>
          </w:p>
        </w:tc>
        <w:tc>
          <w:tcPr>
            <w:tcW w:w="3118" w:type="dxa"/>
            <w:tcBorders>
              <w:top w:val="nil"/>
              <w:left w:val="nil"/>
              <w:bottom w:val="single" w:sz="4" w:space="0" w:color="000000"/>
              <w:right w:val="single" w:sz="4" w:space="0" w:color="000000"/>
            </w:tcBorders>
            <w:shd w:val="clear" w:color="auto" w:fill="auto"/>
            <w:vAlign w:val="center"/>
            <w:hideMark/>
          </w:tcPr>
          <w:p w14:paraId="651DC85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Stručno usavršavanje zaposlenika</w:t>
            </w:r>
          </w:p>
        </w:tc>
        <w:tc>
          <w:tcPr>
            <w:tcW w:w="1296" w:type="dxa"/>
            <w:tcBorders>
              <w:top w:val="nil"/>
              <w:left w:val="nil"/>
              <w:bottom w:val="single" w:sz="4" w:space="0" w:color="000000"/>
              <w:right w:val="single" w:sz="4" w:space="0" w:color="000000"/>
            </w:tcBorders>
            <w:shd w:val="clear" w:color="auto" w:fill="auto"/>
            <w:vAlign w:val="center"/>
            <w:hideMark/>
          </w:tcPr>
          <w:p w14:paraId="429C2832" w14:textId="28CB5A4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BBED78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696,25</w:t>
            </w:r>
          </w:p>
        </w:tc>
        <w:tc>
          <w:tcPr>
            <w:tcW w:w="910" w:type="dxa"/>
            <w:tcBorders>
              <w:top w:val="nil"/>
              <w:left w:val="nil"/>
              <w:bottom w:val="single" w:sz="4" w:space="0" w:color="000000"/>
              <w:right w:val="single" w:sz="4" w:space="0" w:color="000000"/>
            </w:tcBorders>
            <w:shd w:val="clear" w:color="auto" w:fill="auto"/>
            <w:vAlign w:val="center"/>
            <w:hideMark/>
          </w:tcPr>
          <w:p w14:paraId="635F86A6" w14:textId="1C52C8A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62BD6D16"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4ED8BA5A"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D30EFB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3221</w:t>
            </w:r>
          </w:p>
        </w:tc>
        <w:tc>
          <w:tcPr>
            <w:tcW w:w="3118" w:type="dxa"/>
            <w:tcBorders>
              <w:top w:val="nil"/>
              <w:left w:val="nil"/>
              <w:bottom w:val="single" w:sz="4" w:space="0" w:color="000000"/>
              <w:right w:val="single" w:sz="4" w:space="0" w:color="000000"/>
            </w:tcBorders>
            <w:shd w:val="clear" w:color="auto" w:fill="auto"/>
            <w:vAlign w:val="center"/>
            <w:hideMark/>
          </w:tcPr>
          <w:p w14:paraId="2968D9B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Uredski materijal i ostali 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3674BE42" w14:textId="2EE99D3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7B3CB1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4.893,32</w:t>
            </w:r>
          </w:p>
        </w:tc>
        <w:tc>
          <w:tcPr>
            <w:tcW w:w="910" w:type="dxa"/>
            <w:tcBorders>
              <w:top w:val="nil"/>
              <w:left w:val="nil"/>
              <w:bottom w:val="single" w:sz="4" w:space="0" w:color="000000"/>
              <w:right w:val="single" w:sz="4" w:space="0" w:color="000000"/>
            </w:tcBorders>
            <w:shd w:val="clear" w:color="auto" w:fill="auto"/>
            <w:vAlign w:val="center"/>
            <w:hideMark/>
          </w:tcPr>
          <w:p w14:paraId="0782CE0F" w14:textId="5341374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027B85E"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46B8F86" w14:textId="77777777" w:rsidTr="00F52211">
        <w:trPr>
          <w:trHeight w:val="48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B71DE1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3223</w:t>
            </w:r>
          </w:p>
        </w:tc>
        <w:tc>
          <w:tcPr>
            <w:tcW w:w="3118" w:type="dxa"/>
            <w:tcBorders>
              <w:top w:val="nil"/>
              <w:left w:val="nil"/>
              <w:bottom w:val="single" w:sz="4" w:space="0" w:color="000000"/>
              <w:right w:val="single" w:sz="4" w:space="0" w:color="000000"/>
            </w:tcBorders>
            <w:shd w:val="clear" w:color="auto" w:fill="auto"/>
            <w:vAlign w:val="center"/>
            <w:hideMark/>
          </w:tcPr>
          <w:p w14:paraId="0A63136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Energija</w:t>
            </w:r>
          </w:p>
        </w:tc>
        <w:tc>
          <w:tcPr>
            <w:tcW w:w="1296" w:type="dxa"/>
            <w:tcBorders>
              <w:top w:val="nil"/>
              <w:left w:val="nil"/>
              <w:bottom w:val="single" w:sz="4" w:space="0" w:color="000000"/>
              <w:right w:val="single" w:sz="4" w:space="0" w:color="000000"/>
            </w:tcBorders>
            <w:shd w:val="clear" w:color="auto" w:fill="auto"/>
            <w:vAlign w:val="center"/>
            <w:hideMark/>
          </w:tcPr>
          <w:p w14:paraId="15ECC6B7" w14:textId="07F3432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79021F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4.574,07</w:t>
            </w:r>
          </w:p>
        </w:tc>
        <w:tc>
          <w:tcPr>
            <w:tcW w:w="910" w:type="dxa"/>
            <w:tcBorders>
              <w:top w:val="nil"/>
              <w:left w:val="nil"/>
              <w:bottom w:val="single" w:sz="4" w:space="0" w:color="000000"/>
              <w:right w:val="single" w:sz="4" w:space="0" w:color="000000"/>
            </w:tcBorders>
            <w:shd w:val="clear" w:color="auto" w:fill="auto"/>
            <w:vAlign w:val="center"/>
            <w:hideMark/>
          </w:tcPr>
          <w:p w14:paraId="2F73BF26" w14:textId="1A6472F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678D40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144D1DC"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D6DE63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3224</w:t>
            </w:r>
          </w:p>
        </w:tc>
        <w:tc>
          <w:tcPr>
            <w:tcW w:w="3118" w:type="dxa"/>
            <w:tcBorders>
              <w:top w:val="nil"/>
              <w:left w:val="nil"/>
              <w:bottom w:val="single" w:sz="4" w:space="0" w:color="000000"/>
              <w:right w:val="single" w:sz="4" w:space="0" w:color="000000"/>
            </w:tcBorders>
            <w:shd w:val="clear" w:color="auto" w:fill="auto"/>
            <w:vAlign w:val="center"/>
            <w:hideMark/>
          </w:tcPr>
          <w:p w14:paraId="4C2694D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 i dijelovi za tekuće i investicijsko održavanje</w:t>
            </w:r>
          </w:p>
        </w:tc>
        <w:tc>
          <w:tcPr>
            <w:tcW w:w="1296" w:type="dxa"/>
            <w:tcBorders>
              <w:top w:val="nil"/>
              <w:left w:val="nil"/>
              <w:bottom w:val="single" w:sz="4" w:space="0" w:color="000000"/>
              <w:right w:val="single" w:sz="4" w:space="0" w:color="000000"/>
            </w:tcBorders>
            <w:shd w:val="clear" w:color="auto" w:fill="auto"/>
            <w:vAlign w:val="center"/>
            <w:hideMark/>
          </w:tcPr>
          <w:p w14:paraId="7F28DE68" w14:textId="1A9AEC89"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DE947F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68,64</w:t>
            </w:r>
          </w:p>
        </w:tc>
        <w:tc>
          <w:tcPr>
            <w:tcW w:w="910" w:type="dxa"/>
            <w:tcBorders>
              <w:top w:val="nil"/>
              <w:left w:val="nil"/>
              <w:bottom w:val="single" w:sz="4" w:space="0" w:color="000000"/>
              <w:right w:val="single" w:sz="4" w:space="0" w:color="000000"/>
            </w:tcBorders>
            <w:shd w:val="clear" w:color="auto" w:fill="auto"/>
            <w:vAlign w:val="center"/>
            <w:hideMark/>
          </w:tcPr>
          <w:p w14:paraId="597AEF9A" w14:textId="4470FAD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5C46C01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AD086A8" w14:textId="77777777" w:rsidTr="00F52211">
        <w:trPr>
          <w:trHeight w:val="487"/>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83396A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3225</w:t>
            </w:r>
          </w:p>
        </w:tc>
        <w:tc>
          <w:tcPr>
            <w:tcW w:w="3118" w:type="dxa"/>
            <w:tcBorders>
              <w:top w:val="nil"/>
              <w:left w:val="nil"/>
              <w:bottom w:val="single" w:sz="4" w:space="0" w:color="000000"/>
              <w:right w:val="single" w:sz="4" w:space="0" w:color="000000"/>
            </w:tcBorders>
            <w:shd w:val="clear" w:color="auto" w:fill="auto"/>
            <w:vAlign w:val="center"/>
            <w:hideMark/>
          </w:tcPr>
          <w:p w14:paraId="1E2835B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Sitni inventar i autogume</w:t>
            </w:r>
          </w:p>
        </w:tc>
        <w:tc>
          <w:tcPr>
            <w:tcW w:w="1296" w:type="dxa"/>
            <w:tcBorders>
              <w:top w:val="nil"/>
              <w:left w:val="nil"/>
              <w:bottom w:val="single" w:sz="4" w:space="0" w:color="000000"/>
              <w:right w:val="single" w:sz="4" w:space="0" w:color="000000"/>
            </w:tcBorders>
            <w:shd w:val="clear" w:color="auto" w:fill="auto"/>
            <w:vAlign w:val="center"/>
            <w:hideMark/>
          </w:tcPr>
          <w:p w14:paraId="07A0FF7A" w14:textId="3D53F75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675B0E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1.178,62</w:t>
            </w:r>
          </w:p>
        </w:tc>
        <w:tc>
          <w:tcPr>
            <w:tcW w:w="910" w:type="dxa"/>
            <w:tcBorders>
              <w:top w:val="nil"/>
              <w:left w:val="nil"/>
              <w:bottom w:val="single" w:sz="4" w:space="0" w:color="000000"/>
              <w:right w:val="single" w:sz="4" w:space="0" w:color="000000"/>
            </w:tcBorders>
            <w:shd w:val="clear" w:color="auto" w:fill="auto"/>
            <w:vAlign w:val="center"/>
            <w:hideMark/>
          </w:tcPr>
          <w:p w14:paraId="2C116A7C" w14:textId="59450B1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32EF096"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44A13F1"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CCA9E8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3231</w:t>
            </w:r>
          </w:p>
        </w:tc>
        <w:tc>
          <w:tcPr>
            <w:tcW w:w="3118" w:type="dxa"/>
            <w:tcBorders>
              <w:top w:val="nil"/>
              <w:left w:val="nil"/>
              <w:bottom w:val="single" w:sz="4" w:space="0" w:color="000000"/>
              <w:right w:val="single" w:sz="4" w:space="0" w:color="000000"/>
            </w:tcBorders>
            <w:shd w:val="clear" w:color="auto" w:fill="auto"/>
            <w:vAlign w:val="center"/>
            <w:hideMark/>
          </w:tcPr>
          <w:p w14:paraId="2431073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telefona, interneta, pošte i prijevoza</w:t>
            </w:r>
          </w:p>
        </w:tc>
        <w:tc>
          <w:tcPr>
            <w:tcW w:w="1296" w:type="dxa"/>
            <w:tcBorders>
              <w:top w:val="nil"/>
              <w:left w:val="nil"/>
              <w:bottom w:val="single" w:sz="4" w:space="0" w:color="000000"/>
              <w:right w:val="single" w:sz="4" w:space="0" w:color="000000"/>
            </w:tcBorders>
            <w:shd w:val="clear" w:color="auto" w:fill="auto"/>
            <w:vAlign w:val="center"/>
            <w:hideMark/>
          </w:tcPr>
          <w:p w14:paraId="07EEEF8D" w14:textId="48C75190"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4689F8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4.673,75</w:t>
            </w:r>
          </w:p>
        </w:tc>
        <w:tc>
          <w:tcPr>
            <w:tcW w:w="910" w:type="dxa"/>
            <w:tcBorders>
              <w:top w:val="nil"/>
              <w:left w:val="nil"/>
              <w:bottom w:val="single" w:sz="4" w:space="0" w:color="000000"/>
              <w:right w:val="single" w:sz="4" w:space="0" w:color="000000"/>
            </w:tcBorders>
            <w:shd w:val="clear" w:color="auto" w:fill="auto"/>
            <w:vAlign w:val="center"/>
            <w:hideMark/>
          </w:tcPr>
          <w:p w14:paraId="6CBCFDCB" w14:textId="2190E3D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9614969"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FC45476"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8EBD35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3232</w:t>
            </w:r>
          </w:p>
        </w:tc>
        <w:tc>
          <w:tcPr>
            <w:tcW w:w="3118" w:type="dxa"/>
            <w:tcBorders>
              <w:top w:val="nil"/>
              <w:left w:val="nil"/>
              <w:bottom w:val="single" w:sz="4" w:space="0" w:color="000000"/>
              <w:right w:val="single" w:sz="4" w:space="0" w:color="000000"/>
            </w:tcBorders>
            <w:shd w:val="clear" w:color="auto" w:fill="auto"/>
            <w:vAlign w:val="center"/>
            <w:hideMark/>
          </w:tcPr>
          <w:p w14:paraId="0A18E70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tekućeg i investicijskog održavanja</w:t>
            </w:r>
          </w:p>
        </w:tc>
        <w:tc>
          <w:tcPr>
            <w:tcW w:w="1296" w:type="dxa"/>
            <w:tcBorders>
              <w:top w:val="nil"/>
              <w:left w:val="nil"/>
              <w:bottom w:val="single" w:sz="4" w:space="0" w:color="000000"/>
              <w:right w:val="single" w:sz="4" w:space="0" w:color="000000"/>
            </w:tcBorders>
            <w:shd w:val="clear" w:color="auto" w:fill="auto"/>
            <w:vAlign w:val="center"/>
            <w:hideMark/>
          </w:tcPr>
          <w:p w14:paraId="78632F89" w14:textId="4E81A9D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1023859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6.718,10</w:t>
            </w:r>
          </w:p>
        </w:tc>
        <w:tc>
          <w:tcPr>
            <w:tcW w:w="910" w:type="dxa"/>
            <w:tcBorders>
              <w:top w:val="nil"/>
              <w:left w:val="nil"/>
              <w:bottom w:val="single" w:sz="4" w:space="0" w:color="000000"/>
              <w:right w:val="single" w:sz="4" w:space="0" w:color="000000"/>
            </w:tcBorders>
            <w:shd w:val="clear" w:color="auto" w:fill="auto"/>
            <w:vAlign w:val="center"/>
            <w:hideMark/>
          </w:tcPr>
          <w:p w14:paraId="3DC9D923" w14:textId="5F5D64C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39BEC49"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7B09F7A"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9E8DF3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3233</w:t>
            </w:r>
          </w:p>
        </w:tc>
        <w:tc>
          <w:tcPr>
            <w:tcW w:w="3118" w:type="dxa"/>
            <w:tcBorders>
              <w:top w:val="nil"/>
              <w:left w:val="nil"/>
              <w:bottom w:val="single" w:sz="4" w:space="0" w:color="000000"/>
              <w:right w:val="single" w:sz="4" w:space="0" w:color="000000"/>
            </w:tcBorders>
            <w:shd w:val="clear" w:color="auto" w:fill="auto"/>
            <w:vAlign w:val="center"/>
            <w:hideMark/>
          </w:tcPr>
          <w:p w14:paraId="75C87BE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promidžbe i informiranja</w:t>
            </w:r>
          </w:p>
        </w:tc>
        <w:tc>
          <w:tcPr>
            <w:tcW w:w="1296" w:type="dxa"/>
            <w:tcBorders>
              <w:top w:val="nil"/>
              <w:left w:val="nil"/>
              <w:bottom w:val="single" w:sz="4" w:space="0" w:color="000000"/>
              <w:right w:val="single" w:sz="4" w:space="0" w:color="000000"/>
            </w:tcBorders>
            <w:shd w:val="clear" w:color="auto" w:fill="auto"/>
            <w:vAlign w:val="center"/>
            <w:hideMark/>
          </w:tcPr>
          <w:p w14:paraId="2747146E" w14:textId="1CF152E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CE7980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1.022,98</w:t>
            </w:r>
          </w:p>
        </w:tc>
        <w:tc>
          <w:tcPr>
            <w:tcW w:w="910" w:type="dxa"/>
            <w:tcBorders>
              <w:top w:val="nil"/>
              <w:left w:val="nil"/>
              <w:bottom w:val="single" w:sz="4" w:space="0" w:color="000000"/>
              <w:right w:val="single" w:sz="4" w:space="0" w:color="000000"/>
            </w:tcBorders>
            <w:shd w:val="clear" w:color="auto" w:fill="auto"/>
            <w:vAlign w:val="center"/>
            <w:hideMark/>
          </w:tcPr>
          <w:p w14:paraId="0BBF2240" w14:textId="7105815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E91BA9B"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7AC6D05" w14:textId="77777777" w:rsidTr="00F52211">
        <w:trPr>
          <w:trHeight w:val="364"/>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DE2FCF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3234</w:t>
            </w:r>
          </w:p>
        </w:tc>
        <w:tc>
          <w:tcPr>
            <w:tcW w:w="3118" w:type="dxa"/>
            <w:tcBorders>
              <w:top w:val="nil"/>
              <w:left w:val="nil"/>
              <w:bottom w:val="single" w:sz="4" w:space="0" w:color="000000"/>
              <w:right w:val="single" w:sz="4" w:space="0" w:color="000000"/>
            </w:tcBorders>
            <w:shd w:val="clear" w:color="auto" w:fill="auto"/>
            <w:vAlign w:val="center"/>
            <w:hideMark/>
          </w:tcPr>
          <w:p w14:paraId="18103E8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Komunalne usluge</w:t>
            </w:r>
          </w:p>
        </w:tc>
        <w:tc>
          <w:tcPr>
            <w:tcW w:w="1296" w:type="dxa"/>
            <w:tcBorders>
              <w:top w:val="nil"/>
              <w:left w:val="nil"/>
              <w:bottom w:val="single" w:sz="4" w:space="0" w:color="000000"/>
              <w:right w:val="single" w:sz="4" w:space="0" w:color="000000"/>
            </w:tcBorders>
            <w:shd w:val="clear" w:color="auto" w:fill="auto"/>
            <w:vAlign w:val="center"/>
            <w:hideMark/>
          </w:tcPr>
          <w:p w14:paraId="423B282B" w14:textId="7B3FCD4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280C7C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3.665,38</w:t>
            </w:r>
          </w:p>
        </w:tc>
        <w:tc>
          <w:tcPr>
            <w:tcW w:w="910" w:type="dxa"/>
            <w:tcBorders>
              <w:top w:val="nil"/>
              <w:left w:val="nil"/>
              <w:bottom w:val="single" w:sz="4" w:space="0" w:color="000000"/>
              <w:right w:val="single" w:sz="4" w:space="0" w:color="000000"/>
            </w:tcBorders>
            <w:shd w:val="clear" w:color="auto" w:fill="auto"/>
            <w:vAlign w:val="center"/>
            <w:hideMark/>
          </w:tcPr>
          <w:p w14:paraId="517CBBB7" w14:textId="59B2311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93A2BBB"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E424A87" w14:textId="77777777" w:rsidTr="00F52211">
        <w:trPr>
          <w:trHeight w:val="428"/>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CDF024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3235</w:t>
            </w:r>
          </w:p>
        </w:tc>
        <w:tc>
          <w:tcPr>
            <w:tcW w:w="3118" w:type="dxa"/>
            <w:tcBorders>
              <w:top w:val="nil"/>
              <w:left w:val="nil"/>
              <w:bottom w:val="single" w:sz="4" w:space="0" w:color="000000"/>
              <w:right w:val="single" w:sz="4" w:space="0" w:color="000000"/>
            </w:tcBorders>
            <w:shd w:val="clear" w:color="auto" w:fill="auto"/>
            <w:vAlign w:val="center"/>
            <w:hideMark/>
          </w:tcPr>
          <w:p w14:paraId="12663C4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Zakupnine i najamnine</w:t>
            </w:r>
          </w:p>
        </w:tc>
        <w:tc>
          <w:tcPr>
            <w:tcW w:w="1296" w:type="dxa"/>
            <w:tcBorders>
              <w:top w:val="nil"/>
              <w:left w:val="nil"/>
              <w:bottom w:val="single" w:sz="4" w:space="0" w:color="000000"/>
              <w:right w:val="single" w:sz="4" w:space="0" w:color="000000"/>
            </w:tcBorders>
            <w:shd w:val="clear" w:color="auto" w:fill="auto"/>
            <w:vAlign w:val="center"/>
            <w:hideMark/>
          </w:tcPr>
          <w:p w14:paraId="77222569" w14:textId="24134B8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40215E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5.001,11</w:t>
            </w:r>
          </w:p>
        </w:tc>
        <w:tc>
          <w:tcPr>
            <w:tcW w:w="910" w:type="dxa"/>
            <w:tcBorders>
              <w:top w:val="nil"/>
              <w:left w:val="nil"/>
              <w:bottom w:val="single" w:sz="4" w:space="0" w:color="000000"/>
              <w:right w:val="single" w:sz="4" w:space="0" w:color="000000"/>
            </w:tcBorders>
            <w:shd w:val="clear" w:color="auto" w:fill="auto"/>
            <w:vAlign w:val="center"/>
            <w:hideMark/>
          </w:tcPr>
          <w:p w14:paraId="0F0EC9A3" w14:textId="1344542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55A24CB"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0BAEB0B"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031DB2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3236</w:t>
            </w:r>
          </w:p>
        </w:tc>
        <w:tc>
          <w:tcPr>
            <w:tcW w:w="3118" w:type="dxa"/>
            <w:tcBorders>
              <w:top w:val="nil"/>
              <w:left w:val="nil"/>
              <w:bottom w:val="single" w:sz="4" w:space="0" w:color="000000"/>
              <w:right w:val="single" w:sz="4" w:space="0" w:color="000000"/>
            </w:tcBorders>
            <w:shd w:val="clear" w:color="auto" w:fill="auto"/>
            <w:vAlign w:val="center"/>
            <w:hideMark/>
          </w:tcPr>
          <w:p w14:paraId="53B17DA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Zdravstvene i veterinarske usluge</w:t>
            </w:r>
          </w:p>
        </w:tc>
        <w:tc>
          <w:tcPr>
            <w:tcW w:w="1296" w:type="dxa"/>
            <w:tcBorders>
              <w:top w:val="nil"/>
              <w:left w:val="nil"/>
              <w:bottom w:val="single" w:sz="4" w:space="0" w:color="000000"/>
              <w:right w:val="single" w:sz="4" w:space="0" w:color="000000"/>
            </w:tcBorders>
            <w:shd w:val="clear" w:color="auto" w:fill="auto"/>
            <w:vAlign w:val="center"/>
            <w:hideMark/>
          </w:tcPr>
          <w:p w14:paraId="5B2D32C6" w14:textId="3F5D302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001B2F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6.452,20</w:t>
            </w:r>
          </w:p>
        </w:tc>
        <w:tc>
          <w:tcPr>
            <w:tcW w:w="910" w:type="dxa"/>
            <w:tcBorders>
              <w:top w:val="nil"/>
              <w:left w:val="nil"/>
              <w:bottom w:val="single" w:sz="4" w:space="0" w:color="000000"/>
              <w:right w:val="single" w:sz="4" w:space="0" w:color="000000"/>
            </w:tcBorders>
            <w:shd w:val="clear" w:color="auto" w:fill="auto"/>
            <w:vAlign w:val="center"/>
            <w:hideMark/>
          </w:tcPr>
          <w:p w14:paraId="0C3C84AE" w14:textId="750D867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8BAC8ED"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1CB4008" w14:textId="77777777" w:rsidTr="00F52211">
        <w:trPr>
          <w:trHeight w:val="48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DD7A84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3237</w:t>
            </w:r>
          </w:p>
        </w:tc>
        <w:tc>
          <w:tcPr>
            <w:tcW w:w="3118" w:type="dxa"/>
            <w:tcBorders>
              <w:top w:val="nil"/>
              <w:left w:val="nil"/>
              <w:bottom w:val="single" w:sz="4" w:space="0" w:color="000000"/>
              <w:right w:val="single" w:sz="4" w:space="0" w:color="000000"/>
            </w:tcBorders>
            <w:shd w:val="clear" w:color="auto" w:fill="auto"/>
            <w:vAlign w:val="center"/>
            <w:hideMark/>
          </w:tcPr>
          <w:p w14:paraId="755FE79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Intelektualne i osobne usluge</w:t>
            </w:r>
          </w:p>
        </w:tc>
        <w:tc>
          <w:tcPr>
            <w:tcW w:w="1296" w:type="dxa"/>
            <w:tcBorders>
              <w:top w:val="nil"/>
              <w:left w:val="nil"/>
              <w:bottom w:val="single" w:sz="4" w:space="0" w:color="000000"/>
              <w:right w:val="single" w:sz="4" w:space="0" w:color="000000"/>
            </w:tcBorders>
            <w:shd w:val="clear" w:color="auto" w:fill="auto"/>
            <w:vAlign w:val="center"/>
            <w:hideMark/>
          </w:tcPr>
          <w:p w14:paraId="7B436BFE" w14:textId="22ED2AF9"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492EE6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14.679,99</w:t>
            </w:r>
          </w:p>
        </w:tc>
        <w:tc>
          <w:tcPr>
            <w:tcW w:w="910" w:type="dxa"/>
            <w:tcBorders>
              <w:top w:val="nil"/>
              <w:left w:val="nil"/>
              <w:bottom w:val="single" w:sz="4" w:space="0" w:color="000000"/>
              <w:right w:val="single" w:sz="4" w:space="0" w:color="000000"/>
            </w:tcBorders>
            <w:shd w:val="clear" w:color="auto" w:fill="auto"/>
            <w:vAlign w:val="center"/>
            <w:hideMark/>
          </w:tcPr>
          <w:p w14:paraId="73D1AEE0" w14:textId="7F9669E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E2EBB1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C81C615" w14:textId="77777777" w:rsidTr="00F52211">
        <w:trPr>
          <w:trHeight w:val="421"/>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D64705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3238</w:t>
            </w:r>
          </w:p>
        </w:tc>
        <w:tc>
          <w:tcPr>
            <w:tcW w:w="3118" w:type="dxa"/>
            <w:tcBorders>
              <w:top w:val="nil"/>
              <w:left w:val="nil"/>
              <w:bottom w:val="single" w:sz="4" w:space="0" w:color="000000"/>
              <w:right w:val="single" w:sz="4" w:space="0" w:color="000000"/>
            </w:tcBorders>
            <w:shd w:val="clear" w:color="auto" w:fill="auto"/>
            <w:vAlign w:val="center"/>
            <w:hideMark/>
          </w:tcPr>
          <w:p w14:paraId="31366FC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Računalne usluge</w:t>
            </w:r>
          </w:p>
        </w:tc>
        <w:tc>
          <w:tcPr>
            <w:tcW w:w="1296" w:type="dxa"/>
            <w:tcBorders>
              <w:top w:val="nil"/>
              <w:left w:val="nil"/>
              <w:bottom w:val="single" w:sz="4" w:space="0" w:color="000000"/>
              <w:right w:val="single" w:sz="4" w:space="0" w:color="000000"/>
            </w:tcBorders>
            <w:shd w:val="clear" w:color="auto" w:fill="auto"/>
            <w:vAlign w:val="center"/>
            <w:hideMark/>
          </w:tcPr>
          <w:p w14:paraId="106B0BA6" w14:textId="4869756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5AA976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3.600,00</w:t>
            </w:r>
          </w:p>
        </w:tc>
        <w:tc>
          <w:tcPr>
            <w:tcW w:w="910" w:type="dxa"/>
            <w:tcBorders>
              <w:top w:val="nil"/>
              <w:left w:val="nil"/>
              <w:bottom w:val="single" w:sz="4" w:space="0" w:color="000000"/>
              <w:right w:val="single" w:sz="4" w:space="0" w:color="000000"/>
            </w:tcBorders>
            <w:shd w:val="clear" w:color="auto" w:fill="auto"/>
            <w:vAlign w:val="center"/>
            <w:hideMark/>
          </w:tcPr>
          <w:p w14:paraId="2C800C50" w14:textId="10CA743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765192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61CE540" w14:textId="77777777" w:rsidTr="00F52211">
        <w:trPr>
          <w:trHeight w:val="412"/>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998C4D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3239</w:t>
            </w:r>
          </w:p>
        </w:tc>
        <w:tc>
          <w:tcPr>
            <w:tcW w:w="3118" w:type="dxa"/>
            <w:tcBorders>
              <w:top w:val="nil"/>
              <w:left w:val="nil"/>
              <w:bottom w:val="single" w:sz="4" w:space="0" w:color="000000"/>
              <w:right w:val="single" w:sz="4" w:space="0" w:color="000000"/>
            </w:tcBorders>
            <w:shd w:val="clear" w:color="auto" w:fill="auto"/>
            <w:vAlign w:val="center"/>
            <w:hideMark/>
          </w:tcPr>
          <w:p w14:paraId="24C4EC5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Ostale usluge</w:t>
            </w:r>
          </w:p>
        </w:tc>
        <w:tc>
          <w:tcPr>
            <w:tcW w:w="1296" w:type="dxa"/>
            <w:tcBorders>
              <w:top w:val="nil"/>
              <w:left w:val="nil"/>
              <w:bottom w:val="single" w:sz="4" w:space="0" w:color="000000"/>
              <w:right w:val="single" w:sz="4" w:space="0" w:color="000000"/>
            </w:tcBorders>
            <w:shd w:val="clear" w:color="auto" w:fill="auto"/>
            <w:vAlign w:val="center"/>
            <w:hideMark/>
          </w:tcPr>
          <w:p w14:paraId="31AC675B" w14:textId="41D8725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E05D10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8.610,59</w:t>
            </w:r>
          </w:p>
        </w:tc>
        <w:tc>
          <w:tcPr>
            <w:tcW w:w="910" w:type="dxa"/>
            <w:tcBorders>
              <w:top w:val="nil"/>
              <w:left w:val="nil"/>
              <w:bottom w:val="single" w:sz="4" w:space="0" w:color="000000"/>
              <w:right w:val="single" w:sz="4" w:space="0" w:color="000000"/>
            </w:tcBorders>
            <w:shd w:val="clear" w:color="auto" w:fill="auto"/>
            <w:vAlign w:val="center"/>
            <w:hideMark/>
          </w:tcPr>
          <w:p w14:paraId="00317BAD" w14:textId="27A734B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56245D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4F37190F"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D93A24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3291</w:t>
            </w:r>
          </w:p>
        </w:tc>
        <w:tc>
          <w:tcPr>
            <w:tcW w:w="3118" w:type="dxa"/>
            <w:tcBorders>
              <w:top w:val="nil"/>
              <w:left w:val="nil"/>
              <w:bottom w:val="single" w:sz="4" w:space="0" w:color="000000"/>
              <w:right w:val="single" w:sz="4" w:space="0" w:color="000000"/>
            </w:tcBorders>
            <w:shd w:val="clear" w:color="auto" w:fill="auto"/>
            <w:vAlign w:val="center"/>
            <w:hideMark/>
          </w:tcPr>
          <w:p w14:paraId="63C633A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za rad predstavničkih i izvršnih tijela, povjerenstava i slično</w:t>
            </w:r>
          </w:p>
        </w:tc>
        <w:tc>
          <w:tcPr>
            <w:tcW w:w="1296" w:type="dxa"/>
            <w:tcBorders>
              <w:top w:val="nil"/>
              <w:left w:val="nil"/>
              <w:bottom w:val="single" w:sz="4" w:space="0" w:color="000000"/>
              <w:right w:val="single" w:sz="4" w:space="0" w:color="000000"/>
            </w:tcBorders>
            <w:shd w:val="clear" w:color="auto" w:fill="auto"/>
            <w:vAlign w:val="center"/>
            <w:hideMark/>
          </w:tcPr>
          <w:p w14:paraId="45B8A7B8" w14:textId="549E4AC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807291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4.169,73</w:t>
            </w:r>
          </w:p>
        </w:tc>
        <w:tc>
          <w:tcPr>
            <w:tcW w:w="910" w:type="dxa"/>
            <w:tcBorders>
              <w:top w:val="nil"/>
              <w:left w:val="nil"/>
              <w:bottom w:val="single" w:sz="4" w:space="0" w:color="000000"/>
              <w:right w:val="single" w:sz="4" w:space="0" w:color="000000"/>
            </w:tcBorders>
            <w:shd w:val="clear" w:color="auto" w:fill="auto"/>
            <w:vAlign w:val="center"/>
            <w:hideMark/>
          </w:tcPr>
          <w:p w14:paraId="25BF483F" w14:textId="57A7057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6434EE9"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277C809" w14:textId="77777777" w:rsidTr="00F52211">
        <w:trPr>
          <w:trHeight w:val="441"/>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FC93B2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3292</w:t>
            </w:r>
          </w:p>
        </w:tc>
        <w:tc>
          <w:tcPr>
            <w:tcW w:w="3118" w:type="dxa"/>
            <w:tcBorders>
              <w:top w:val="nil"/>
              <w:left w:val="nil"/>
              <w:bottom w:val="single" w:sz="4" w:space="0" w:color="000000"/>
              <w:right w:val="single" w:sz="4" w:space="0" w:color="000000"/>
            </w:tcBorders>
            <w:shd w:val="clear" w:color="auto" w:fill="auto"/>
            <w:vAlign w:val="center"/>
            <w:hideMark/>
          </w:tcPr>
          <w:p w14:paraId="35F0085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Premije osiguranja</w:t>
            </w:r>
          </w:p>
        </w:tc>
        <w:tc>
          <w:tcPr>
            <w:tcW w:w="1296" w:type="dxa"/>
            <w:tcBorders>
              <w:top w:val="nil"/>
              <w:left w:val="nil"/>
              <w:bottom w:val="single" w:sz="4" w:space="0" w:color="000000"/>
              <w:right w:val="single" w:sz="4" w:space="0" w:color="000000"/>
            </w:tcBorders>
            <w:shd w:val="clear" w:color="auto" w:fill="auto"/>
            <w:vAlign w:val="center"/>
            <w:hideMark/>
          </w:tcPr>
          <w:p w14:paraId="547BAC2B" w14:textId="3D896BE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2788D5E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2.888,71</w:t>
            </w:r>
          </w:p>
        </w:tc>
        <w:tc>
          <w:tcPr>
            <w:tcW w:w="910" w:type="dxa"/>
            <w:tcBorders>
              <w:top w:val="nil"/>
              <w:left w:val="nil"/>
              <w:bottom w:val="single" w:sz="4" w:space="0" w:color="000000"/>
              <w:right w:val="single" w:sz="4" w:space="0" w:color="000000"/>
            </w:tcBorders>
            <w:shd w:val="clear" w:color="auto" w:fill="auto"/>
            <w:vAlign w:val="center"/>
            <w:hideMark/>
          </w:tcPr>
          <w:p w14:paraId="47839294" w14:textId="5BFDC700"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1D9B1B6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ED8366C" w14:textId="77777777" w:rsidTr="00F52211">
        <w:trPr>
          <w:trHeight w:val="419"/>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841FE4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3293</w:t>
            </w:r>
          </w:p>
        </w:tc>
        <w:tc>
          <w:tcPr>
            <w:tcW w:w="3118" w:type="dxa"/>
            <w:tcBorders>
              <w:top w:val="nil"/>
              <w:left w:val="nil"/>
              <w:bottom w:val="single" w:sz="4" w:space="0" w:color="000000"/>
              <w:right w:val="single" w:sz="4" w:space="0" w:color="000000"/>
            </w:tcBorders>
            <w:shd w:val="clear" w:color="auto" w:fill="auto"/>
            <w:vAlign w:val="center"/>
            <w:hideMark/>
          </w:tcPr>
          <w:p w14:paraId="06C3B63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Reprezentacija</w:t>
            </w:r>
          </w:p>
        </w:tc>
        <w:tc>
          <w:tcPr>
            <w:tcW w:w="1296" w:type="dxa"/>
            <w:tcBorders>
              <w:top w:val="nil"/>
              <w:left w:val="nil"/>
              <w:bottom w:val="single" w:sz="4" w:space="0" w:color="000000"/>
              <w:right w:val="single" w:sz="4" w:space="0" w:color="000000"/>
            </w:tcBorders>
            <w:shd w:val="clear" w:color="auto" w:fill="auto"/>
            <w:vAlign w:val="center"/>
            <w:hideMark/>
          </w:tcPr>
          <w:p w14:paraId="1D314095" w14:textId="31C8206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587524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2.818,09</w:t>
            </w:r>
          </w:p>
        </w:tc>
        <w:tc>
          <w:tcPr>
            <w:tcW w:w="910" w:type="dxa"/>
            <w:tcBorders>
              <w:top w:val="nil"/>
              <w:left w:val="nil"/>
              <w:bottom w:val="single" w:sz="4" w:space="0" w:color="000000"/>
              <w:right w:val="single" w:sz="4" w:space="0" w:color="000000"/>
            </w:tcBorders>
            <w:shd w:val="clear" w:color="auto" w:fill="auto"/>
            <w:vAlign w:val="center"/>
            <w:hideMark/>
          </w:tcPr>
          <w:p w14:paraId="336B049E" w14:textId="6590856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B9CF10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80C25B7" w14:textId="77777777" w:rsidTr="00F52211">
        <w:trPr>
          <w:trHeight w:val="411"/>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7AC97A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3295</w:t>
            </w:r>
          </w:p>
        </w:tc>
        <w:tc>
          <w:tcPr>
            <w:tcW w:w="3118" w:type="dxa"/>
            <w:tcBorders>
              <w:top w:val="nil"/>
              <w:left w:val="nil"/>
              <w:bottom w:val="single" w:sz="4" w:space="0" w:color="000000"/>
              <w:right w:val="single" w:sz="4" w:space="0" w:color="000000"/>
            </w:tcBorders>
            <w:shd w:val="clear" w:color="auto" w:fill="auto"/>
            <w:vAlign w:val="center"/>
            <w:hideMark/>
          </w:tcPr>
          <w:p w14:paraId="0342303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Pristojbe i naknade</w:t>
            </w:r>
          </w:p>
        </w:tc>
        <w:tc>
          <w:tcPr>
            <w:tcW w:w="1296" w:type="dxa"/>
            <w:tcBorders>
              <w:top w:val="nil"/>
              <w:left w:val="nil"/>
              <w:bottom w:val="single" w:sz="4" w:space="0" w:color="000000"/>
              <w:right w:val="single" w:sz="4" w:space="0" w:color="000000"/>
            </w:tcBorders>
            <w:shd w:val="clear" w:color="auto" w:fill="auto"/>
            <w:vAlign w:val="center"/>
            <w:hideMark/>
          </w:tcPr>
          <w:p w14:paraId="1D408C51" w14:textId="745ACD2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053CD3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670,25</w:t>
            </w:r>
          </w:p>
        </w:tc>
        <w:tc>
          <w:tcPr>
            <w:tcW w:w="910" w:type="dxa"/>
            <w:tcBorders>
              <w:top w:val="nil"/>
              <w:left w:val="nil"/>
              <w:bottom w:val="single" w:sz="4" w:space="0" w:color="000000"/>
              <w:right w:val="single" w:sz="4" w:space="0" w:color="000000"/>
            </w:tcBorders>
            <w:shd w:val="clear" w:color="auto" w:fill="auto"/>
            <w:vAlign w:val="center"/>
            <w:hideMark/>
          </w:tcPr>
          <w:p w14:paraId="39F42333" w14:textId="5A7C6FD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65F7372A"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BEE2FB0"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50FC70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3299</w:t>
            </w:r>
          </w:p>
        </w:tc>
        <w:tc>
          <w:tcPr>
            <w:tcW w:w="3118" w:type="dxa"/>
            <w:tcBorders>
              <w:top w:val="nil"/>
              <w:left w:val="nil"/>
              <w:bottom w:val="single" w:sz="4" w:space="0" w:color="000000"/>
              <w:right w:val="single" w:sz="4" w:space="0" w:color="000000"/>
            </w:tcBorders>
            <w:shd w:val="clear" w:color="auto" w:fill="auto"/>
            <w:vAlign w:val="center"/>
            <w:hideMark/>
          </w:tcPr>
          <w:p w14:paraId="29543B4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Ostali nespomenuti rashodi poslovanja</w:t>
            </w:r>
          </w:p>
        </w:tc>
        <w:tc>
          <w:tcPr>
            <w:tcW w:w="1296" w:type="dxa"/>
            <w:tcBorders>
              <w:top w:val="nil"/>
              <w:left w:val="nil"/>
              <w:bottom w:val="single" w:sz="4" w:space="0" w:color="000000"/>
              <w:right w:val="single" w:sz="4" w:space="0" w:color="000000"/>
            </w:tcBorders>
            <w:shd w:val="clear" w:color="auto" w:fill="auto"/>
            <w:vAlign w:val="center"/>
            <w:hideMark/>
          </w:tcPr>
          <w:p w14:paraId="1F73E34C" w14:textId="72DB408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BE3AAC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604,87</w:t>
            </w:r>
          </w:p>
        </w:tc>
        <w:tc>
          <w:tcPr>
            <w:tcW w:w="910" w:type="dxa"/>
            <w:tcBorders>
              <w:top w:val="nil"/>
              <w:left w:val="nil"/>
              <w:bottom w:val="single" w:sz="4" w:space="0" w:color="000000"/>
              <w:right w:val="single" w:sz="4" w:space="0" w:color="000000"/>
            </w:tcBorders>
            <w:shd w:val="clear" w:color="auto" w:fill="auto"/>
            <w:vAlign w:val="center"/>
            <w:hideMark/>
          </w:tcPr>
          <w:p w14:paraId="281BA222" w14:textId="60476870"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727C645"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9B99D37"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BA85EFC"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03</w:t>
            </w:r>
          </w:p>
        </w:tc>
        <w:tc>
          <w:tcPr>
            <w:tcW w:w="3118" w:type="dxa"/>
            <w:tcBorders>
              <w:top w:val="nil"/>
              <w:left w:val="nil"/>
              <w:bottom w:val="single" w:sz="4" w:space="0" w:color="000000"/>
              <w:right w:val="single" w:sz="4" w:space="0" w:color="000000"/>
            </w:tcBorders>
            <w:shd w:val="clear" w:color="auto" w:fill="auto"/>
            <w:vAlign w:val="center"/>
            <w:hideMark/>
          </w:tcPr>
          <w:p w14:paraId="6550C089"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VLASTITI PRIHODI</w:t>
            </w:r>
          </w:p>
        </w:tc>
        <w:tc>
          <w:tcPr>
            <w:tcW w:w="1296" w:type="dxa"/>
            <w:tcBorders>
              <w:top w:val="nil"/>
              <w:left w:val="nil"/>
              <w:bottom w:val="single" w:sz="4" w:space="0" w:color="000000"/>
              <w:right w:val="single" w:sz="4" w:space="0" w:color="000000"/>
            </w:tcBorders>
            <w:shd w:val="clear" w:color="auto" w:fill="auto"/>
            <w:vAlign w:val="center"/>
            <w:hideMark/>
          </w:tcPr>
          <w:p w14:paraId="65F7438D"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10,00</w:t>
            </w:r>
          </w:p>
        </w:tc>
        <w:tc>
          <w:tcPr>
            <w:tcW w:w="2410" w:type="dxa"/>
            <w:tcBorders>
              <w:top w:val="nil"/>
              <w:left w:val="nil"/>
              <w:bottom w:val="single" w:sz="4" w:space="0" w:color="000000"/>
              <w:right w:val="single" w:sz="4" w:space="0" w:color="000000"/>
            </w:tcBorders>
            <w:shd w:val="clear" w:color="auto" w:fill="auto"/>
            <w:vAlign w:val="center"/>
            <w:hideMark/>
          </w:tcPr>
          <w:p w14:paraId="59E754C2"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1AAB7CD5"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0,00</w:t>
            </w:r>
          </w:p>
        </w:tc>
        <w:tc>
          <w:tcPr>
            <w:tcW w:w="1130" w:type="dxa"/>
            <w:tcBorders>
              <w:top w:val="nil"/>
              <w:left w:val="nil"/>
              <w:bottom w:val="nil"/>
              <w:right w:val="nil"/>
            </w:tcBorders>
            <w:shd w:val="clear" w:color="auto" w:fill="auto"/>
            <w:noWrap/>
            <w:vAlign w:val="bottom"/>
            <w:hideMark/>
          </w:tcPr>
          <w:p w14:paraId="3FE0AF80"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7F6DF7D2" w14:textId="77777777" w:rsidTr="00F52211">
        <w:trPr>
          <w:trHeight w:val="352"/>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0D1070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32</w:t>
            </w:r>
          </w:p>
        </w:tc>
        <w:tc>
          <w:tcPr>
            <w:tcW w:w="3118" w:type="dxa"/>
            <w:tcBorders>
              <w:top w:val="nil"/>
              <w:left w:val="nil"/>
              <w:bottom w:val="single" w:sz="4" w:space="0" w:color="000000"/>
              <w:right w:val="single" w:sz="4" w:space="0" w:color="000000"/>
            </w:tcBorders>
            <w:shd w:val="clear" w:color="auto" w:fill="auto"/>
            <w:vAlign w:val="center"/>
            <w:hideMark/>
          </w:tcPr>
          <w:p w14:paraId="7E08167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1752115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10,00</w:t>
            </w:r>
          </w:p>
        </w:tc>
        <w:tc>
          <w:tcPr>
            <w:tcW w:w="2410" w:type="dxa"/>
            <w:tcBorders>
              <w:top w:val="nil"/>
              <w:left w:val="nil"/>
              <w:bottom w:val="single" w:sz="4" w:space="0" w:color="000000"/>
              <w:right w:val="single" w:sz="4" w:space="0" w:color="000000"/>
            </w:tcBorders>
            <w:shd w:val="clear" w:color="auto" w:fill="auto"/>
            <w:vAlign w:val="center"/>
            <w:hideMark/>
          </w:tcPr>
          <w:p w14:paraId="42712A0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0A66111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130" w:type="dxa"/>
            <w:tcBorders>
              <w:top w:val="nil"/>
              <w:left w:val="nil"/>
              <w:bottom w:val="nil"/>
              <w:right w:val="nil"/>
            </w:tcBorders>
            <w:shd w:val="clear" w:color="auto" w:fill="auto"/>
            <w:noWrap/>
            <w:vAlign w:val="bottom"/>
            <w:hideMark/>
          </w:tcPr>
          <w:p w14:paraId="08AA117F"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A1117A7" w14:textId="77777777" w:rsidTr="00F52211">
        <w:trPr>
          <w:trHeight w:val="4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8C9267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3239</w:t>
            </w:r>
          </w:p>
        </w:tc>
        <w:tc>
          <w:tcPr>
            <w:tcW w:w="3118" w:type="dxa"/>
            <w:tcBorders>
              <w:top w:val="nil"/>
              <w:left w:val="nil"/>
              <w:bottom w:val="single" w:sz="4" w:space="0" w:color="000000"/>
              <w:right w:val="single" w:sz="4" w:space="0" w:color="000000"/>
            </w:tcBorders>
            <w:shd w:val="clear" w:color="auto" w:fill="auto"/>
            <w:vAlign w:val="center"/>
            <w:hideMark/>
          </w:tcPr>
          <w:p w14:paraId="17D5110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Ostale usluge</w:t>
            </w:r>
          </w:p>
        </w:tc>
        <w:tc>
          <w:tcPr>
            <w:tcW w:w="1296" w:type="dxa"/>
            <w:tcBorders>
              <w:top w:val="nil"/>
              <w:left w:val="nil"/>
              <w:bottom w:val="single" w:sz="4" w:space="0" w:color="000000"/>
              <w:right w:val="single" w:sz="4" w:space="0" w:color="000000"/>
            </w:tcBorders>
            <w:shd w:val="clear" w:color="auto" w:fill="auto"/>
            <w:vAlign w:val="center"/>
            <w:hideMark/>
          </w:tcPr>
          <w:p w14:paraId="63FAE7B2" w14:textId="2E7E720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2B9793A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7108F88F" w14:textId="43E901C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034864E"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E16FD09"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CC56025"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07</w:t>
            </w:r>
          </w:p>
        </w:tc>
        <w:tc>
          <w:tcPr>
            <w:tcW w:w="3118" w:type="dxa"/>
            <w:tcBorders>
              <w:top w:val="nil"/>
              <w:left w:val="nil"/>
              <w:bottom w:val="single" w:sz="4" w:space="0" w:color="000000"/>
              <w:right w:val="single" w:sz="4" w:space="0" w:color="000000"/>
            </w:tcBorders>
            <w:shd w:val="clear" w:color="auto" w:fill="auto"/>
            <w:vAlign w:val="center"/>
            <w:hideMark/>
          </w:tcPr>
          <w:p w14:paraId="3B066B0B"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PRIHODI OD PRODAJE IMOVINE I NAKNADE S NASLOVA OSIGURANJA</w:t>
            </w:r>
          </w:p>
        </w:tc>
        <w:tc>
          <w:tcPr>
            <w:tcW w:w="1296" w:type="dxa"/>
            <w:tcBorders>
              <w:top w:val="nil"/>
              <w:left w:val="nil"/>
              <w:bottom w:val="single" w:sz="4" w:space="0" w:color="000000"/>
              <w:right w:val="single" w:sz="4" w:space="0" w:color="000000"/>
            </w:tcBorders>
            <w:shd w:val="clear" w:color="auto" w:fill="auto"/>
            <w:vAlign w:val="center"/>
            <w:hideMark/>
          </w:tcPr>
          <w:p w14:paraId="00456BBA"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760,00</w:t>
            </w:r>
          </w:p>
        </w:tc>
        <w:tc>
          <w:tcPr>
            <w:tcW w:w="2410" w:type="dxa"/>
            <w:tcBorders>
              <w:top w:val="nil"/>
              <w:left w:val="nil"/>
              <w:bottom w:val="single" w:sz="4" w:space="0" w:color="000000"/>
              <w:right w:val="single" w:sz="4" w:space="0" w:color="000000"/>
            </w:tcBorders>
            <w:shd w:val="clear" w:color="auto" w:fill="auto"/>
            <w:vAlign w:val="center"/>
            <w:hideMark/>
          </w:tcPr>
          <w:p w14:paraId="0242732D"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739,28</w:t>
            </w:r>
          </w:p>
        </w:tc>
        <w:tc>
          <w:tcPr>
            <w:tcW w:w="910" w:type="dxa"/>
            <w:tcBorders>
              <w:top w:val="nil"/>
              <w:left w:val="nil"/>
              <w:bottom w:val="single" w:sz="4" w:space="0" w:color="000000"/>
              <w:right w:val="single" w:sz="4" w:space="0" w:color="000000"/>
            </w:tcBorders>
            <w:shd w:val="clear" w:color="auto" w:fill="auto"/>
            <w:vAlign w:val="center"/>
            <w:hideMark/>
          </w:tcPr>
          <w:p w14:paraId="4A492618"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97,27</w:t>
            </w:r>
          </w:p>
        </w:tc>
        <w:tc>
          <w:tcPr>
            <w:tcW w:w="1130" w:type="dxa"/>
            <w:tcBorders>
              <w:top w:val="nil"/>
              <w:left w:val="nil"/>
              <w:bottom w:val="nil"/>
              <w:right w:val="nil"/>
            </w:tcBorders>
            <w:shd w:val="clear" w:color="auto" w:fill="auto"/>
            <w:noWrap/>
            <w:vAlign w:val="bottom"/>
            <w:hideMark/>
          </w:tcPr>
          <w:p w14:paraId="73473707"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25F908F1" w14:textId="77777777" w:rsidTr="00F52211">
        <w:trPr>
          <w:trHeight w:val="418"/>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2F5EE8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w:t>
            </w:r>
          </w:p>
        </w:tc>
        <w:tc>
          <w:tcPr>
            <w:tcW w:w="3118" w:type="dxa"/>
            <w:tcBorders>
              <w:top w:val="nil"/>
              <w:left w:val="nil"/>
              <w:bottom w:val="single" w:sz="4" w:space="0" w:color="000000"/>
              <w:right w:val="single" w:sz="4" w:space="0" w:color="000000"/>
            </w:tcBorders>
            <w:shd w:val="clear" w:color="auto" w:fill="auto"/>
            <w:vAlign w:val="center"/>
            <w:hideMark/>
          </w:tcPr>
          <w:p w14:paraId="4FCD7E7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1979CD5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760,00</w:t>
            </w:r>
          </w:p>
        </w:tc>
        <w:tc>
          <w:tcPr>
            <w:tcW w:w="2410" w:type="dxa"/>
            <w:tcBorders>
              <w:top w:val="nil"/>
              <w:left w:val="nil"/>
              <w:bottom w:val="single" w:sz="4" w:space="0" w:color="000000"/>
              <w:right w:val="single" w:sz="4" w:space="0" w:color="000000"/>
            </w:tcBorders>
            <w:shd w:val="clear" w:color="auto" w:fill="auto"/>
            <w:vAlign w:val="center"/>
            <w:hideMark/>
          </w:tcPr>
          <w:p w14:paraId="70C72CD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739,28</w:t>
            </w:r>
          </w:p>
        </w:tc>
        <w:tc>
          <w:tcPr>
            <w:tcW w:w="910" w:type="dxa"/>
            <w:tcBorders>
              <w:top w:val="nil"/>
              <w:left w:val="nil"/>
              <w:bottom w:val="single" w:sz="4" w:space="0" w:color="000000"/>
              <w:right w:val="single" w:sz="4" w:space="0" w:color="000000"/>
            </w:tcBorders>
            <w:shd w:val="clear" w:color="auto" w:fill="auto"/>
            <w:vAlign w:val="center"/>
            <w:hideMark/>
          </w:tcPr>
          <w:p w14:paraId="2411053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97,27</w:t>
            </w:r>
          </w:p>
        </w:tc>
        <w:tc>
          <w:tcPr>
            <w:tcW w:w="1130" w:type="dxa"/>
            <w:tcBorders>
              <w:top w:val="nil"/>
              <w:left w:val="nil"/>
              <w:bottom w:val="nil"/>
              <w:right w:val="nil"/>
            </w:tcBorders>
            <w:shd w:val="clear" w:color="auto" w:fill="auto"/>
            <w:noWrap/>
            <w:vAlign w:val="bottom"/>
            <w:hideMark/>
          </w:tcPr>
          <w:p w14:paraId="3C01A3E3"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8D78A7F"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DD8D85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3232</w:t>
            </w:r>
          </w:p>
        </w:tc>
        <w:tc>
          <w:tcPr>
            <w:tcW w:w="3118" w:type="dxa"/>
            <w:tcBorders>
              <w:top w:val="nil"/>
              <w:left w:val="nil"/>
              <w:bottom w:val="single" w:sz="4" w:space="0" w:color="000000"/>
              <w:right w:val="single" w:sz="4" w:space="0" w:color="000000"/>
            </w:tcBorders>
            <w:shd w:val="clear" w:color="auto" w:fill="auto"/>
            <w:vAlign w:val="center"/>
            <w:hideMark/>
          </w:tcPr>
          <w:p w14:paraId="62F09D2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tekućeg i investicijskog održavanja</w:t>
            </w:r>
          </w:p>
        </w:tc>
        <w:tc>
          <w:tcPr>
            <w:tcW w:w="1296" w:type="dxa"/>
            <w:tcBorders>
              <w:top w:val="nil"/>
              <w:left w:val="nil"/>
              <w:bottom w:val="single" w:sz="4" w:space="0" w:color="000000"/>
              <w:right w:val="single" w:sz="4" w:space="0" w:color="000000"/>
            </w:tcBorders>
            <w:shd w:val="clear" w:color="auto" w:fill="auto"/>
            <w:vAlign w:val="center"/>
            <w:hideMark/>
          </w:tcPr>
          <w:p w14:paraId="43C9E4AB" w14:textId="5CF638E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356457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739,28</w:t>
            </w:r>
          </w:p>
        </w:tc>
        <w:tc>
          <w:tcPr>
            <w:tcW w:w="910" w:type="dxa"/>
            <w:tcBorders>
              <w:top w:val="nil"/>
              <w:left w:val="nil"/>
              <w:bottom w:val="single" w:sz="4" w:space="0" w:color="000000"/>
              <w:right w:val="single" w:sz="4" w:space="0" w:color="000000"/>
            </w:tcBorders>
            <w:shd w:val="clear" w:color="auto" w:fill="auto"/>
            <w:vAlign w:val="center"/>
            <w:hideMark/>
          </w:tcPr>
          <w:p w14:paraId="0FB4D6A8" w14:textId="6CF31C8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79BA361"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0E4D536"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FE8DDD7"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Kapitalni projekt K100099</w:t>
            </w:r>
          </w:p>
        </w:tc>
        <w:tc>
          <w:tcPr>
            <w:tcW w:w="3118" w:type="dxa"/>
            <w:tcBorders>
              <w:top w:val="nil"/>
              <w:left w:val="nil"/>
              <w:bottom w:val="single" w:sz="4" w:space="0" w:color="000000"/>
              <w:right w:val="single" w:sz="4" w:space="0" w:color="000000"/>
            </w:tcBorders>
            <w:shd w:val="clear" w:color="auto" w:fill="auto"/>
            <w:vAlign w:val="center"/>
            <w:hideMark/>
          </w:tcPr>
          <w:p w14:paraId="43934152"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EU PROJEKTI - PORA</w:t>
            </w:r>
          </w:p>
        </w:tc>
        <w:tc>
          <w:tcPr>
            <w:tcW w:w="1296" w:type="dxa"/>
            <w:tcBorders>
              <w:top w:val="nil"/>
              <w:left w:val="nil"/>
              <w:bottom w:val="single" w:sz="4" w:space="0" w:color="000000"/>
              <w:right w:val="single" w:sz="4" w:space="0" w:color="000000"/>
            </w:tcBorders>
            <w:shd w:val="clear" w:color="auto" w:fill="auto"/>
            <w:vAlign w:val="center"/>
            <w:hideMark/>
          </w:tcPr>
          <w:p w14:paraId="033DB3D2"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2.000,00</w:t>
            </w:r>
          </w:p>
        </w:tc>
        <w:tc>
          <w:tcPr>
            <w:tcW w:w="2410" w:type="dxa"/>
            <w:tcBorders>
              <w:top w:val="nil"/>
              <w:left w:val="nil"/>
              <w:bottom w:val="single" w:sz="4" w:space="0" w:color="000000"/>
              <w:right w:val="single" w:sz="4" w:space="0" w:color="000000"/>
            </w:tcBorders>
            <w:shd w:val="clear" w:color="auto" w:fill="auto"/>
            <w:vAlign w:val="center"/>
            <w:hideMark/>
          </w:tcPr>
          <w:p w14:paraId="71282846"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497,50</w:t>
            </w:r>
          </w:p>
        </w:tc>
        <w:tc>
          <w:tcPr>
            <w:tcW w:w="910" w:type="dxa"/>
            <w:tcBorders>
              <w:top w:val="nil"/>
              <w:left w:val="nil"/>
              <w:bottom w:val="single" w:sz="4" w:space="0" w:color="000000"/>
              <w:right w:val="single" w:sz="4" w:space="0" w:color="000000"/>
            </w:tcBorders>
            <w:shd w:val="clear" w:color="auto" w:fill="auto"/>
            <w:vAlign w:val="center"/>
            <w:hideMark/>
          </w:tcPr>
          <w:p w14:paraId="2C9DECFC"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24,88</w:t>
            </w:r>
          </w:p>
        </w:tc>
        <w:tc>
          <w:tcPr>
            <w:tcW w:w="1130" w:type="dxa"/>
            <w:tcBorders>
              <w:top w:val="nil"/>
              <w:left w:val="nil"/>
              <w:bottom w:val="nil"/>
              <w:right w:val="nil"/>
            </w:tcBorders>
            <w:shd w:val="clear" w:color="auto" w:fill="auto"/>
            <w:noWrap/>
            <w:vAlign w:val="bottom"/>
            <w:hideMark/>
          </w:tcPr>
          <w:p w14:paraId="41994B26"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0E5FF61A"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5D43B61"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01</w:t>
            </w:r>
          </w:p>
        </w:tc>
        <w:tc>
          <w:tcPr>
            <w:tcW w:w="3118" w:type="dxa"/>
            <w:tcBorders>
              <w:top w:val="nil"/>
              <w:left w:val="nil"/>
              <w:bottom w:val="single" w:sz="4" w:space="0" w:color="000000"/>
              <w:right w:val="single" w:sz="4" w:space="0" w:color="000000"/>
            </w:tcBorders>
            <w:shd w:val="clear" w:color="auto" w:fill="auto"/>
            <w:vAlign w:val="center"/>
            <w:hideMark/>
          </w:tcPr>
          <w:p w14:paraId="49F6CC02"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OPĆI PRIHODI I PRIMICI</w:t>
            </w:r>
          </w:p>
        </w:tc>
        <w:tc>
          <w:tcPr>
            <w:tcW w:w="1296" w:type="dxa"/>
            <w:tcBorders>
              <w:top w:val="nil"/>
              <w:left w:val="nil"/>
              <w:bottom w:val="single" w:sz="4" w:space="0" w:color="000000"/>
              <w:right w:val="single" w:sz="4" w:space="0" w:color="000000"/>
            </w:tcBorders>
            <w:shd w:val="clear" w:color="auto" w:fill="auto"/>
            <w:vAlign w:val="center"/>
            <w:hideMark/>
          </w:tcPr>
          <w:p w14:paraId="1BFD456A"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300,00</w:t>
            </w:r>
          </w:p>
        </w:tc>
        <w:tc>
          <w:tcPr>
            <w:tcW w:w="2410" w:type="dxa"/>
            <w:tcBorders>
              <w:top w:val="nil"/>
              <w:left w:val="nil"/>
              <w:bottom w:val="single" w:sz="4" w:space="0" w:color="000000"/>
              <w:right w:val="single" w:sz="4" w:space="0" w:color="000000"/>
            </w:tcBorders>
            <w:shd w:val="clear" w:color="auto" w:fill="auto"/>
            <w:vAlign w:val="center"/>
            <w:hideMark/>
          </w:tcPr>
          <w:p w14:paraId="5E5CC16F"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99,50</w:t>
            </w:r>
          </w:p>
        </w:tc>
        <w:tc>
          <w:tcPr>
            <w:tcW w:w="910" w:type="dxa"/>
            <w:tcBorders>
              <w:top w:val="nil"/>
              <w:left w:val="nil"/>
              <w:bottom w:val="single" w:sz="4" w:space="0" w:color="000000"/>
              <w:right w:val="single" w:sz="4" w:space="0" w:color="000000"/>
            </w:tcBorders>
            <w:shd w:val="clear" w:color="auto" w:fill="auto"/>
            <w:vAlign w:val="center"/>
            <w:hideMark/>
          </w:tcPr>
          <w:p w14:paraId="27759592"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33,17</w:t>
            </w:r>
          </w:p>
        </w:tc>
        <w:tc>
          <w:tcPr>
            <w:tcW w:w="1130" w:type="dxa"/>
            <w:tcBorders>
              <w:top w:val="nil"/>
              <w:left w:val="nil"/>
              <w:bottom w:val="nil"/>
              <w:right w:val="nil"/>
            </w:tcBorders>
            <w:shd w:val="clear" w:color="auto" w:fill="auto"/>
            <w:noWrap/>
            <w:vAlign w:val="bottom"/>
            <w:hideMark/>
          </w:tcPr>
          <w:p w14:paraId="64F7B823"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48D92141"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270FFB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w:t>
            </w:r>
          </w:p>
        </w:tc>
        <w:tc>
          <w:tcPr>
            <w:tcW w:w="3118" w:type="dxa"/>
            <w:tcBorders>
              <w:top w:val="nil"/>
              <w:left w:val="nil"/>
              <w:bottom w:val="single" w:sz="4" w:space="0" w:color="000000"/>
              <w:right w:val="single" w:sz="4" w:space="0" w:color="000000"/>
            </w:tcBorders>
            <w:shd w:val="clear" w:color="auto" w:fill="auto"/>
            <w:vAlign w:val="center"/>
            <w:hideMark/>
          </w:tcPr>
          <w:p w14:paraId="140DDE4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nabavu neproizvedene dugotrajne imovine</w:t>
            </w:r>
          </w:p>
        </w:tc>
        <w:tc>
          <w:tcPr>
            <w:tcW w:w="1296" w:type="dxa"/>
            <w:tcBorders>
              <w:top w:val="nil"/>
              <w:left w:val="nil"/>
              <w:bottom w:val="single" w:sz="4" w:space="0" w:color="000000"/>
              <w:right w:val="single" w:sz="4" w:space="0" w:color="000000"/>
            </w:tcBorders>
            <w:shd w:val="clear" w:color="auto" w:fill="auto"/>
            <w:vAlign w:val="center"/>
            <w:hideMark/>
          </w:tcPr>
          <w:p w14:paraId="73150D6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150,00</w:t>
            </w:r>
          </w:p>
        </w:tc>
        <w:tc>
          <w:tcPr>
            <w:tcW w:w="2410" w:type="dxa"/>
            <w:tcBorders>
              <w:top w:val="nil"/>
              <w:left w:val="nil"/>
              <w:bottom w:val="single" w:sz="4" w:space="0" w:color="000000"/>
              <w:right w:val="single" w:sz="4" w:space="0" w:color="000000"/>
            </w:tcBorders>
            <w:shd w:val="clear" w:color="auto" w:fill="auto"/>
            <w:vAlign w:val="center"/>
            <w:hideMark/>
          </w:tcPr>
          <w:p w14:paraId="09AF15F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99,50</w:t>
            </w:r>
          </w:p>
        </w:tc>
        <w:tc>
          <w:tcPr>
            <w:tcW w:w="910" w:type="dxa"/>
            <w:tcBorders>
              <w:top w:val="nil"/>
              <w:left w:val="nil"/>
              <w:bottom w:val="single" w:sz="4" w:space="0" w:color="000000"/>
              <w:right w:val="single" w:sz="4" w:space="0" w:color="000000"/>
            </w:tcBorders>
            <w:shd w:val="clear" w:color="auto" w:fill="auto"/>
            <w:vAlign w:val="center"/>
            <w:hideMark/>
          </w:tcPr>
          <w:p w14:paraId="1CE9479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66,33</w:t>
            </w:r>
          </w:p>
        </w:tc>
        <w:tc>
          <w:tcPr>
            <w:tcW w:w="1130" w:type="dxa"/>
            <w:tcBorders>
              <w:top w:val="nil"/>
              <w:left w:val="nil"/>
              <w:bottom w:val="nil"/>
              <w:right w:val="nil"/>
            </w:tcBorders>
            <w:shd w:val="clear" w:color="auto" w:fill="auto"/>
            <w:noWrap/>
            <w:vAlign w:val="bottom"/>
            <w:hideMark/>
          </w:tcPr>
          <w:p w14:paraId="3C6D516A"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A661517" w14:textId="77777777" w:rsidTr="00F52211">
        <w:trPr>
          <w:trHeight w:val="38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CDD9AF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4123</w:t>
            </w:r>
          </w:p>
        </w:tc>
        <w:tc>
          <w:tcPr>
            <w:tcW w:w="3118" w:type="dxa"/>
            <w:tcBorders>
              <w:top w:val="nil"/>
              <w:left w:val="nil"/>
              <w:bottom w:val="single" w:sz="4" w:space="0" w:color="000000"/>
              <w:right w:val="single" w:sz="4" w:space="0" w:color="000000"/>
            </w:tcBorders>
            <w:shd w:val="clear" w:color="auto" w:fill="auto"/>
            <w:vAlign w:val="center"/>
            <w:hideMark/>
          </w:tcPr>
          <w:p w14:paraId="6C8F0C8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Licence</w:t>
            </w:r>
          </w:p>
        </w:tc>
        <w:tc>
          <w:tcPr>
            <w:tcW w:w="1296" w:type="dxa"/>
            <w:tcBorders>
              <w:top w:val="nil"/>
              <w:left w:val="nil"/>
              <w:bottom w:val="single" w:sz="4" w:space="0" w:color="000000"/>
              <w:right w:val="single" w:sz="4" w:space="0" w:color="000000"/>
            </w:tcBorders>
            <w:shd w:val="clear" w:color="auto" w:fill="auto"/>
            <w:vAlign w:val="center"/>
            <w:hideMark/>
          </w:tcPr>
          <w:p w14:paraId="46E1BC71" w14:textId="4599B8D0"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D07038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99,50</w:t>
            </w:r>
          </w:p>
        </w:tc>
        <w:tc>
          <w:tcPr>
            <w:tcW w:w="910" w:type="dxa"/>
            <w:tcBorders>
              <w:top w:val="nil"/>
              <w:left w:val="nil"/>
              <w:bottom w:val="single" w:sz="4" w:space="0" w:color="000000"/>
              <w:right w:val="single" w:sz="4" w:space="0" w:color="000000"/>
            </w:tcBorders>
            <w:shd w:val="clear" w:color="auto" w:fill="auto"/>
            <w:vAlign w:val="center"/>
            <w:hideMark/>
          </w:tcPr>
          <w:p w14:paraId="711E5E80" w14:textId="3553DAB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51C5142"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5464BEC"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943CB1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w:t>
            </w:r>
          </w:p>
        </w:tc>
        <w:tc>
          <w:tcPr>
            <w:tcW w:w="3118" w:type="dxa"/>
            <w:tcBorders>
              <w:top w:val="nil"/>
              <w:left w:val="nil"/>
              <w:bottom w:val="single" w:sz="4" w:space="0" w:color="000000"/>
              <w:right w:val="single" w:sz="4" w:space="0" w:color="000000"/>
            </w:tcBorders>
            <w:shd w:val="clear" w:color="auto" w:fill="auto"/>
            <w:vAlign w:val="center"/>
            <w:hideMark/>
          </w:tcPr>
          <w:p w14:paraId="18D383A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nabavu proizvedene dugotrajne imovine</w:t>
            </w:r>
          </w:p>
        </w:tc>
        <w:tc>
          <w:tcPr>
            <w:tcW w:w="1296" w:type="dxa"/>
            <w:tcBorders>
              <w:top w:val="nil"/>
              <w:left w:val="nil"/>
              <w:bottom w:val="single" w:sz="4" w:space="0" w:color="000000"/>
              <w:right w:val="single" w:sz="4" w:space="0" w:color="000000"/>
            </w:tcBorders>
            <w:shd w:val="clear" w:color="auto" w:fill="auto"/>
            <w:vAlign w:val="center"/>
            <w:hideMark/>
          </w:tcPr>
          <w:p w14:paraId="056F7EE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150,00</w:t>
            </w:r>
          </w:p>
        </w:tc>
        <w:tc>
          <w:tcPr>
            <w:tcW w:w="2410" w:type="dxa"/>
            <w:tcBorders>
              <w:top w:val="nil"/>
              <w:left w:val="nil"/>
              <w:bottom w:val="single" w:sz="4" w:space="0" w:color="000000"/>
              <w:right w:val="single" w:sz="4" w:space="0" w:color="000000"/>
            </w:tcBorders>
            <w:shd w:val="clear" w:color="auto" w:fill="auto"/>
            <w:vAlign w:val="center"/>
            <w:hideMark/>
          </w:tcPr>
          <w:p w14:paraId="2163615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7C99499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130" w:type="dxa"/>
            <w:tcBorders>
              <w:top w:val="nil"/>
              <w:left w:val="nil"/>
              <w:bottom w:val="nil"/>
              <w:right w:val="nil"/>
            </w:tcBorders>
            <w:shd w:val="clear" w:color="auto" w:fill="auto"/>
            <w:noWrap/>
            <w:vAlign w:val="bottom"/>
            <w:hideMark/>
          </w:tcPr>
          <w:p w14:paraId="1FAA59DE"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9869243" w14:textId="77777777" w:rsidTr="00F52211">
        <w:trPr>
          <w:trHeight w:val="433"/>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4DB985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4221</w:t>
            </w:r>
          </w:p>
        </w:tc>
        <w:tc>
          <w:tcPr>
            <w:tcW w:w="3118" w:type="dxa"/>
            <w:tcBorders>
              <w:top w:val="nil"/>
              <w:left w:val="nil"/>
              <w:bottom w:val="single" w:sz="4" w:space="0" w:color="000000"/>
              <w:right w:val="single" w:sz="4" w:space="0" w:color="000000"/>
            </w:tcBorders>
            <w:shd w:val="clear" w:color="auto" w:fill="auto"/>
            <w:vAlign w:val="center"/>
            <w:hideMark/>
          </w:tcPr>
          <w:p w14:paraId="07711CC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Uredska oprema i namještaj</w:t>
            </w:r>
          </w:p>
        </w:tc>
        <w:tc>
          <w:tcPr>
            <w:tcW w:w="1296" w:type="dxa"/>
            <w:tcBorders>
              <w:top w:val="nil"/>
              <w:left w:val="nil"/>
              <w:bottom w:val="single" w:sz="4" w:space="0" w:color="000000"/>
              <w:right w:val="single" w:sz="4" w:space="0" w:color="000000"/>
            </w:tcBorders>
            <w:shd w:val="clear" w:color="auto" w:fill="auto"/>
            <w:vAlign w:val="center"/>
            <w:hideMark/>
          </w:tcPr>
          <w:p w14:paraId="1968B9FC" w14:textId="6CFA0EB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1B3AFE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4570AD20" w14:textId="501489A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EAE8DE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F9C9FC4"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AA5E8C9"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05</w:t>
            </w:r>
          </w:p>
        </w:tc>
        <w:tc>
          <w:tcPr>
            <w:tcW w:w="3118" w:type="dxa"/>
            <w:tcBorders>
              <w:top w:val="nil"/>
              <w:left w:val="nil"/>
              <w:bottom w:val="single" w:sz="4" w:space="0" w:color="000000"/>
              <w:right w:val="single" w:sz="4" w:space="0" w:color="000000"/>
            </w:tcBorders>
            <w:shd w:val="clear" w:color="auto" w:fill="auto"/>
            <w:vAlign w:val="center"/>
            <w:hideMark/>
          </w:tcPr>
          <w:p w14:paraId="69E035B1"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POMOĆI</w:t>
            </w:r>
          </w:p>
        </w:tc>
        <w:tc>
          <w:tcPr>
            <w:tcW w:w="1296" w:type="dxa"/>
            <w:tcBorders>
              <w:top w:val="nil"/>
              <w:left w:val="nil"/>
              <w:bottom w:val="single" w:sz="4" w:space="0" w:color="000000"/>
              <w:right w:val="single" w:sz="4" w:space="0" w:color="000000"/>
            </w:tcBorders>
            <w:shd w:val="clear" w:color="auto" w:fill="auto"/>
            <w:vAlign w:val="center"/>
            <w:hideMark/>
          </w:tcPr>
          <w:p w14:paraId="5978BCDD"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1.700,00</w:t>
            </w:r>
          </w:p>
        </w:tc>
        <w:tc>
          <w:tcPr>
            <w:tcW w:w="2410" w:type="dxa"/>
            <w:tcBorders>
              <w:top w:val="nil"/>
              <w:left w:val="nil"/>
              <w:bottom w:val="single" w:sz="4" w:space="0" w:color="000000"/>
              <w:right w:val="single" w:sz="4" w:space="0" w:color="000000"/>
            </w:tcBorders>
            <w:shd w:val="clear" w:color="auto" w:fill="auto"/>
            <w:vAlign w:val="center"/>
            <w:hideMark/>
          </w:tcPr>
          <w:p w14:paraId="07F243E7"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398,00</w:t>
            </w:r>
          </w:p>
        </w:tc>
        <w:tc>
          <w:tcPr>
            <w:tcW w:w="910" w:type="dxa"/>
            <w:tcBorders>
              <w:top w:val="nil"/>
              <w:left w:val="nil"/>
              <w:bottom w:val="single" w:sz="4" w:space="0" w:color="000000"/>
              <w:right w:val="single" w:sz="4" w:space="0" w:color="000000"/>
            </w:tcBorders>
            <w:shd w:val="clear" w:color="auto" w:fill="auto"/>
            <w:vAlign w:val="center"/>
            <w:hideMark/>
          </w:tcPr>
          <w:p w14:paraId="7423B1AF"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23,41</w:t>
            </w:r>
          </w:p>
        </w:tc>
        <w:tc>
          <w:tcPr>
            <w:tcW w:w="1130" w:type="dxa"/>
            <w:tcBorders>
              <w:top w:val="nil"/>
              <w:left w:val="nil"/>
              <w:bottom w:val="nil"/>
              <w:right w:val="nil"/>
            </w:tcBorders>
            <w:shd w:val="clear" w:color="auto" w:fill="auto"/>
            <w:noWrap/>
            <w:vAlign w:val="bottom"/>
            <w:hideMark/>
          </w:tcPr>
          <w:p w14:paraId="18646C54"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0930EACB"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6AA067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w:t>
            </w:r>
          </w:p>
        </w:tc>
        <w:tc>
          <w:tcPr>
            <w:tcW w:w="3118" w:type="dxa"/>
            <w:tcBorders>
              <w:top w:val="nil"/>
              <w:left w:val="nil"/>
              <w:bottom w:val="single" w:sz="4" w:space="0" w:color="000000"/>
              <w:right w:val="single" w:sz="4" w:space="0" w:color="000000"/>
            </w:tcBorders>
            <w:shd w:val="clear" w:color="auto" w:fill="auto"/>
            <w:vAlign w:val="center"/>
            <w:hideMark/>
          </w:tcPr>
          <w:p w14:paraId="13C691B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nabavu neproizvedene dugotrajne imovine</w:t>
            </w:r>
          </w:p>
        </w:tc>
        <w:tc>
          <w:tcPr>
            <w:tcW w:w="1296" w:type="dxa"/>
            <w:tcBorders>
              <w:top w:val="nil"/>
              <w:left w:val="nil"/>
              <w:bottom w:val="single" w:sz="4" w:space="0" w:color="000000"/>
              <w:right w:val="single" w:sz="4" w:space="0" w:color="000000"/>
            </w:tcBorders>
            <w:shd w:val="clear" w:color="auto" w:fill="auto"/>
            <w:vAlign w:val="center"/>
            <w:hideMark/>
          </w:tcPr>
          <w:p w14:paraId="43D00F5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850,00</w:t>
            </w:r>
          </w:p>
        </w:tc>
        <w:tc>
          <w:tcPr>
            <w:tcW w:w="2410" w:type="dxa"/>
            <w:tcBorders>
              <w:top w:val="nil"/>
              <w:left w:val="nil"/>
              <w:bottom w:val="single" w:sz="4" w:space="0" w:color="000000"/>
              <w:right w:val="single" w:sz="4" w:space="0" w:color="000000"/>
            </w:tcBorders>
            <w:shd w:val="clear" w:color="auto" w:fill="auto"/>
            <w:vAlign w:val="center"/>
            <w:hideMark/>
          </w:tcPr>
          <w:p w14:paraId="1FE84C0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398,00</w:t>
            </w:r>
          </w:p>
        </w:tc>
        <w:tc>
          <w:tcPr>
            <w:tcW w:w="910" w:type="dxa"/>
            <w:tcBorders>
              <w:top w:val="nil"/>
              <w:left w:val="nil"/>
              <w:bottom w:val="single" w:sz="4" w:space="0" w:color="000000"/>
              <w:right w:val="single" w:sz="4" w:space="0" w:color="000000"/>
            </w:tcBorders>
            <w:shd w:val="clear" w:color="auto" w:fill="auto"/>
            <w:vAlign w:val="center"/>
            <w:hideMark/>
          </w:tcPr>
          <w:p w14:paraId="2DB870F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46,82</w:t>
            </w:r>
          </w:p>
        </w:tc>
        <w:tc>
          <w:tcPr>
            <w:tcW w:w="1130" w:type="dxa"/>
            <w:tcBorders>
              <w:top w:val="nil"/>
              <w:left w:val="nil"/>
              <w:bottom w:val="nil"/>
              <w:right w:val="nil"/>
            </w:tcBorders>
            <w:shd w:val="clear" w:color="auto" w:fill="auto"/>
            <w:noWrap/>
            <w:vAlign w:val="bottom"/>
            <w:hideMark/>
          </w:tcPr>
          <w:p w14:paraId="17D2B33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CD59BC1" w14:textId="77777777" w:rsidTr="00F52211">
        <w:trPr>
          <w:trHeight w:val="446"/>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4AC239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4123</w:t>
            </w:r>
          </w:p>
        </w:tc>
        <w:tc>
          <w:tcPr>
            <w:tcW w:w="3118" w:type="dxa"/>
            <w:tcBorders>
              <w:top w:val="nil"/>
              <w:left w:val="nil"/>
              <w:bottom w:val="single" w:sz="4" w:space="0" w:color="000000"/>
              <w:right w:val="single" w:sz="4" w:space="0" w:color="000000"/>
            </w:tcBorders>
            <w:shd w:val="clear" w:color="auto" w:fill="auto"/>
            <w:vAlign w:val="center"/>
            <w:hideMark/>
          </w:tcPr>
          <w:p w14:paraId="4ADF553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Licence</w:t>
            </w:r>
          </w:p>
        </w:tc>
        <w:tc>
          <w:tcPr>
            <w:tcW w:w="1296" w:type="dxa"/>
            <w:tcBorders>
              <w:top w:val="nil"/>
              <w:left w:val="nil"/>
              <w:bottom w:val="single" w:sz="4" w:space="0" w:color="000000"/>
              <w:right w:val="single" w:sz="4" w:space="0" w:color="000000"/>
            </w:tcBorders>
            <w:shd w:val="clear" w:color="auto" w:fill="auto"/>
            <w:vAlign w:val="center"/>
            <w:hideMark/>
          </w:tcPr>
          <w:p w14:paraId="74D5F420" w14:textId="3EF2BF6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F03703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398,00</w:t>
            </w:r>
          </w:p>
        </w:tc>
        <w:tc>
          <w:tcPr>
            <w:tcW w:w="910" w:type="dxa"/>
            <w:tcBorders>
              <w:top w:val="nil"/>
              <w:left w:val="nil"/>
              <w:bottom w:val="single" w:sz="4" w:space="0" w:color="000000"/>
              <w:right w:val="single" w:sz="4" w:space="0" w:color="000000"/>
            </w:tcBorders>
            <w:shd w:val="clear" w:color="auto" w:fill="auto"/>
            <w:vAlign w:val="center"/>
            <w:hideMark/>
          </w:tcPr>
          <w:p w14:paraId="51F4490A" w14:textId="01A5176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3A2EFC8"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E1321D2"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9C51B9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w:t>
            </w:r>
          </w:p>
        </w:tc>
        <w:tc>
          <w:tcPr>
            <w:tcW w:w="3118" w:type="dxa"/>
            <w:tcBorders>
              <w:top w:val="nil"/>
              <w:left w:val="nil"/>
              <w:bottom w:val="single" w:sz="4" w:space="0" w:color="000000"/>
              <w:right w:val="single" w:sz="4" w:space="0" w:color="000000"/>
            </w:tcBorders>
            <w:shd w:val="clear" w:color="auto" w:fill="auto"/>
            <w:vAlign w:val="center"/>
            <w:hideMark/>
          </w:tcPr>
          <w:p w14:paraId="49C17AC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nabavu proizvedene dugotrajne imovine</w:t>
            </w:r>
          </w:p>
        </w:tc>
        <w:tc>
          <w:tcPr>
            <w:tcW w:w="1296" w:type="dxa"/>
            <w:tcBorders>
              <w:top w:val="nil"/>
              <w:left w:val="nil"/>
              <w:bottom w:val="single" w:sz="4" w:space="0" w:color="000000"/>
              <w:right w:val="single" w:sz="4" w:space="0" w:color="000000"/>
            </w:tcBorders>
            <w:shd w:val="clear" w:color="auto" w:fill="auto"/>
            <w:vAlign w:val="center"/>
            <w:hideMark/>
          </w:tcPr>
          <w:p w14:paraId="1E90F4B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850,00</w:t>
            </w:r>
          </w:p>
        </w:tc>
        <w:tc>
          <w:tcPr>
            <w:tcW w:w="2410" w:type="dxa"/>
            <w:tcBorders>
              <w:top w:val="nil"/>
              <w:left w:val="nil"/>
              <w:bottom w:val="single" w:sz="4" w:space="0" w:color="000000"/>
              <w:right w:val="single" w:sz="4" w:space="0" w:color="000000"/>
            </w:tcBorders>
            <w:shd w:val="clear" w:color="auto" w:fill="auto"/>
            <w:vAlign w:val="center"/>
            <w:hideMark/>
          </w:tcPr>
          <w:p w14:paraId="3A09266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0C1375B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1130" w:type="dxa"/>
            <w:tcBorders>
              <w:top w:val="nil"/>
              <w:left w:val="nil"/>
              <w:bottom w:val="nil"/>
              <w:right w:val="nil"/>
            </w:tcBorders>
            <w:shd w:val="clear" w:color="auto" w:fill="auto"/>
            <w:noWrap/>
            <w:vAlign w:val="bottom"/>
            <w:hideMark/>
          </w:tcPr>
          <w:p w14:paraId="6198CD91"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E441365" w14:textId="77777777" w:rsidTr="00F120D7">
        <w:trPr>
          <w:trHeight w:val="416"/>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F054F9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4221</w:t>
            </w:r>
          </w:p>
        </w:tc>
        <w:tc>
          <w:tcPr>
            <w:tcW w:w="3118" w:type="dxa"/>
            <w:tcBorders>
              <w:top w:val="nil"/>
              <w:left w:val="nil"/>
              <w:bottom w:val="single" w:sz="4" w:space="0" w:color="000000"/>
              <w:right w:val="single" w:sz="4" w:space="0" w:color="000000"/>
            </w:tcBorders>
            <w:shd w:val="clear" w:color="auto" w:fill="auto"/>
            <w:vAlign w:val="center"/>
            <w:hideMark/>
          </w:tcPr>
          <w:p w14:paraId="09CAB5E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Uredska oprema i namještaj</w:t>
            </w:r>
          </w:p>
        </w:tc>
        <w:tc>
          <w:tcPr>
            <w:tcW w:w="1296" w:type="dxa"/>
            <w:tcBorders>
              <w:top w:val="nil"/>
              <w:left w:val="nil"/>
              <w:bottom w:val="single" w:sz="4" w:space="0" w:color="000000"/>
              <w:right w:val="single" w:sz="4" w:space="0" w:color="000000"/>
            </w:tcBorders>
            <w:shd w:val="clear" w:color="auto" w:fill="auto"/>
            <w:vAlign w:val="center"/>
            <w:hideMark/>
          </w:tcPr>
          <w:p w14:paraId="40B08621" w14:textId="357E929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F16707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2AE53BDB" w14:textId="53CBA1F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73603FF"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052C8C3"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4A8E7A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Aktivnost A100153</w:t>
            </w:r>
          </w:p>
        </w:tc>
        <w:tc>
          <w:tcPr>
            <w:tcW w:w="3118" w:type="dxa"/>
            <w:tcBorders>
              <w:top w:val="nil"/>
              <w:left w:val="nil"/>
              <w:bottom w:val="single" w:sz="4" w:space="0" w:color="000000"/>
              <w:right w:val="single" w:sz="4" w:space="0" w:color="000000"/>
            </w:tcBorders>
            <w:shd w:val="clear" w:color="auto" w:fill="auto"/>
            <w:vAlign w:val="center"/>
            <w:hideMark/>
          </w:tcPr>
          <w:p w14:paraId="5ECBC2F7"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EU PROJEKTI - PORA</w:t>
            </w:r>
          </w:p>
        </w:tc>
        <w:tc>
          <w:tcPr>
            <w:tcW w:w="1296" w:type="dxa"/>
            <w:tcBorders>
              <w:top w:val="nil"/>
              <w:left w:val="nil"/>
              <w:bottom w:val="single" w:sz="4" w:space="0" w:color="000000"/>
              <w:right w:val="single" w:sz="4" w:space="0" w:color="000000"/>
            </w:tcBorders>
            <w:shd w:val="clear" w:color="auto" w:fill="auto"/>
            <w:vAlign w:val="center"/>
            <w:hideMark/>
          </w:tcPr>
          <w:p w14:paraId="4A035AA4"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598.370,00</w:t>
            </w:r>
          </w:p>
        </w:tc>
        <w:tc>
          <w:tcPr>
            <w:tcW w:w="2410" w:type="dxa"/>
            <w:tcBorders>
              <w:top w:val="nil"/>
              <w:left w:val="nil"/>
              <w:bottom w:val="single" w:sz="4" w:space="0" w:color="000000"/>
              <w:right w:val="single" w:sz="4" w:space="0" w:color="000000"/>
            </w:tcBorders>
            <w:shd w:val="clear" w:color="auto" w:fill="auto"/>
            <w:vAlign w:val="center"/>
            <w:hideMark/>
          </w:tcPr>
          <w:p w14:paraId="7DB92868"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520.039,46</w:t>
            </w:r>
          </w:p>
        </w:tc>
        <w:tc>
          <w:tcPr>
            <w:tcW w:w="910" w:type="dxa"/>
            <w:tcBorders>
              <w:top w:val="nil"/>
              <w:left w:val="nil"/>
              <w:bottom w:val="single" w:sz="4" w:space="0" w:color="000000"/>
              <w:right w:val="single" w:sz="4" w:space="0" w:color="000000"/>
            </w:tcBorders>
            <w:shd w:val="clear" w:color="auto" w:fill="auto"/>
            <w:vAlign w:val="center"/>
            <w:hideMark/>
          </w:tcPr>
          <w:p w14:paraId="43500E06" w14:textId="77777777" w:rsidR="00165B1F" w:rsidRPr="00F120D7" w:rsidRDefault="00165B1F" w:rsidP="005C0B7C">
            <w:pPr>
              <w:spacing w:after="0" w:line="240" w:lineRule="auto"/>
              <w:jc w:val="center"/>
              <w:rPr>
                <w:rFonts w:ascii="Times New Roman" w:eastAsia="Times New Roman" w:hAnsi="Times New Roman" w:cs="Times New Roman"/>
                <w:b/>
                <w:bCs/>
                <w:color w:val="000000"/>
                <w:lang w:eastAsia="hr-HR"/>
              </w:rPr>
            </w:pPr>
            <w:r w:rsidRPr="00F120D7">
              <w:rPr>
                <w:rFonts w:ascii="Times New Roman" w:eastAsia="Times New Roman" w:hAnsi="Times New Roman" w:cs="Times New Roman"/>
                <w:b/>
                <w:bCs/>
                <w:color w:val="000000"/>
                <w:lang w:eastAsia="hr-HR"/>
              </w:rPr>
              <w:t>86,91</w:t>
            </w:r>
          </w:p>
        </w:tc>
        <w:tc>
          <w:tcPr>
            <w:tcW w:w="1130" w:type="dxa"/>
            <w:tcBorders>
              <w:top w:val="nil"/>
              <w:left w:val="nil"/>
              <w:bottom w:val="nil"/>
              <w:right w:val="nil"/>
            </w:tcBorders>
            <w:shd w:val="clear" w:color="auto" w:fill="auto"/>
            <w:noWrap/>
            <w:vAlign w:val="bottom"/>
            <w:hideMark/>
          </w:tcPr>
          <w:p w14:paraId="7136D9EA" w14:textId="77777777" w:rsidR="00165B1F" w:rsidRPr="005C0B7C" w:rsidRDefault="00165B1F" w:rsidP="005C0B7C">
            <w:pPr>
              <w:spacing w:after="0" w:line="240" w:lineRule="auto"/>
              <w:jc w:val="center"/>
              <w:rPr>
                <w:rFonts w:ascii="Times New Roman" w:eastAsia="Times New Roman" w:hAnsi="Times New Roman" w:cs="Times New Roman"/>
                <w:b/>
                <w:bCs/>
                <w:color w:val="000000"/>
                <w:sz w:val="24"/>
                <w:szCs w:val="24"/>
                <w:lang w:eastAsia="hr-HR"/>
              </w:rPr>
            </w:pPr>
          </w:p>
        </w:tc>
      </w:tr>
      <w:tr w:rsidR="00C463E9" w:rsidRPr="005C0B7C" w14:paraId="51E0C35E"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2ECCA43"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01</w:t>
            </w:r>
          </w:p>
        </w:tc>
        <w:tc>
          <w:tcPr>
            <w:tcW w:w="3118" w:type="dxa"/>
            <w:tcBorders>
              <w:top w:val="nil"/>
              <w:left w:val="nil"/>
              <w:bottom w:val="single" w:sz="4" w:space="0" w:color="000000"/>
              <w:right w:val="single" w:sz="4" w:space="0" w:color="000000"/>
            </w:tcBorders>
            <w:shd w:val="clear" w:color="auto" w:fill="auto"/>
            <w:vAlign w:val="center"/>
            <w:hideMark/>
          </w:tcPr>
          <w:p w14:paraId="31185BFC"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OPĆI PRIHODI I PRIMICI</w:t>
            </w:r>
          </w:p>
        </w:tc>
        <w:tc>
          <w:tcPr>
            <w:tcW w:w="1296" w:type="dxa"/>
            <w:tcBorders>
              <w:top w:val="nil"/>
              <w:left w:val="nil"/>
              <w:bottom w:val="single" w:sz="4" w:space="0" w:color="000000"/>
              <w:right w:val="single" w:sz="4" w:space="0" w:color="000000"/>
            </w:tcBorders>
            <w:shd w:val="clear" w:color="auto" w:fill="auto"/>
            <w:vAlign w:val="center"/>
            <w:hideMark/>
          </w:tcPr>
          <w:p w14:paraId="0E8D9EC1"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172.555,00</w:t>
            </w:r>
          </w:p>
        </w:tc>
        <w:tc>
          <w:tcPr>
            <w:tcW w:w="2410" w:type="dxa"/>
            <w:tcBorders>
              <w:top w:val="nil"/>
              <w:left w:val="nil"/>
              <w:bottom w:val="single" w:sz="4" w:space="0" w:color="000000"/>
              <w:right w:val="single" w:sz="4" w:space="0" w:color="000000"/>
            </w:tcBorders>
            <w:shd w:val="clear" w:color="auto" w:fill="auto"/>
            <w:vAlign w:val="center"/>
            <w:hideMark/>
          </w:tcPr>
          <w:p w14:paraId="6A0FFB2C"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119.886,08</w:t>
            </w:r>
          </w:p>
        </w:tc>
        <w:tc>
          <w:tcPr>
            <w:tcW w:w="910" w:type="dxa"/>
            <w:tcBorders>
              <w:top w:val="nil"/>
              <w:left w:val="nil"/>
              <w:bottom w:val="single" w:sz="4" w:space="0" w:color="000000"/>
              <w:right w:val="single" w:sz="4" w:space="0" w:color="000000"/>
            </w:tcBorders>
            <w:shd w:val="clear" w:color="auto" w:fill="auto"/>
            <w:vAlign w:val="center"/>
            <w:hideMark/>
          </w:tcPr>
          <w:p w14:paraId="0223B582"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69,48</w:t>
            </w:r>
          </w:p>
        </w:tc>
        <w:tc>
          <w:tcPr>
            <w:tcW w:w="1130" w:type="dxa"/>
            <w:tcBorders>
              <w:top w:val="nil"/>
              <w:left w:val="nil"/>
              <w:bottom w:val="nil"/>
              <w:right w:val="nil"/>
            </w:tcBorders>
            <w:shd w:val="clear" w:color="auto" w:fill="auto"/>
            <w:noWrap/>
            <w:vAlign w:val="bottom"/>
            <w:hideMark/>
          </w:tcPr>
          <w:p w14:paraId="2EF6ECA2"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262D0656"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6B3C6B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w:t>
            </w:r>
          </w:p>
        </w:tc>
        <w:tc>
          <w:tcPr>
            <w:tcW w:w="3118" w:type="dxa"/>
            <w:tcBorders>
              <w:top w:val="nil"/>
              <w:left w:val="nil"/>
              <w:bottom w:val="single" w:sz="4" w:space="0" w:color="000000"/>
              <w:right w:val="single" w:sz="4" w:space="0" w:color="000000"/>
            </w:tcBorders>
            <w:shd w:val="clear" w:color="auto" w:fill="auto"/>
            <w:vAlign w:val="center"/>
            <w:hideMark/>
          </w:tcPr>
          <w:p w14:paraId="29DA2A1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zaposlene</w:t>
            </w:r>
          </w:p>
        </w:tc>
        <w:tc>
          <w:tcPr>
            <w:tcW w:w="1296" w:type="dxa"/>
            <w:tcBorders>
              <w:top w:val="nil"/>
              <w:left w:val="nil"/>
              <w:bottom w:val="single" w:sz="4" w:space="0" w:color="000000"/>
              <w:right w:val="single" w:sz="4" w:space="0" w:color="000000"/>
            </w:tcBorders>
            <w:shd w:val="clear" w:color="auto" w:fill="auto"/>
            <w:vAlign w:val="center"/>
            <w:hideMark/>
          </w:tcPr>
          <w:p w14:paraId="318DEAF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110.600,00</w:t>
            </w:r>
          </w:p>
        </w:tc>
        <w:tc>
          <w:tcPr>
            <w:tcW w:w="2410" w:type="dxa"/>
            <w:tcBorders>
              <w:top w:val="nil"/>
              <w:left w:val="nil"/>
              <w:bottom w:val="single" w:sz="4" w:space="0" w:color="000000"/>
              <w:right w:val="single" w:sz="4" w:space="0" w:color="000000"/>
            </w:tcBorders>
            <w:shd w:val="clear" w:color="auto" w:fill="auto"/>
            <w:vAlign w:val="center"/>
            <w:hideMark/>
          </w:tcPr>
          <w:p w14:paraId="2C7B85B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91.696,26</w:t>
            </w:r>
          </w:p>
        </w:tc>
        <w:tc>
          <w:tcPr>
            <w:tcW w:w="910" w:type="dxa"/>
            <w:tcBorders>
              <w:top w:val="nil"/>
              <w:left w:val="nil"/>
              <w:bottom w:val="single" w:sz="4" w:space="0" w:color="000000"/>
              <w:right w:val="single" w:sz="4" w:space="0" w:color="000000"/>
            </w:tcBorders>
            <w:shd w:val="clear" w:color="auto" w:fill="auto"/>
            <w:vAlign w:val="center"/>
            <w:hideMark/>
          </w:tcPr>
          <w:p w14:paraId="19C630C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82,91</w:t>
            </w:r>
          </w:p>
        </w:tc>
        <w:tc>
          <w:tcPr>
            <w:tcW w:w="1130" w:type="dxa"/>
            <w:tcBorders>
              <w:top w:val="nil"/>
              <w:left w:val="nil"/>
              <w:bottom w:val="nil"/>
              <w:right w:val="nil"/>
            </w:tcBorders>
            <w:shd w:val="clear" w:color="auto" w:fill="auto"/>
            <w:noWrap/>
            <w:vAlign w:val="bottom"/>
            <w:hideMark/>
          </w:tcPr>
          <w:p w14:paraId="6349ED9A"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A7455C3"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858DF7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3111</w:t>
            </w:r>
          </w:p>
        </w:tc>
        <w:tc>
          <w:tcPr>
            <w:tcW w:w="3118" w:type="dxa"/>
            <w:tcBorders>
              <w:top w:val="nil"/>
              <w:left w:val="nil"/>
              <w:bottom w:val="single" w:sz="4" w:space="0" w:color="000000"/>
              <w:right w:val="single" w:sz="4" w:space="0" w:color="000000"/>
            </w:tcBorders>
            <w:shd w:val="clear" w:color="auto" w:fill="auto"/>
            <w:vAlign w:val="center"/>
            <w:hideMark/>
          </w:tcPr>
          <w:p w14:paraId="7481CA5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Plaće za redovan rad</w:t>
            </w:r>
          </w:p>
        </w:tc>
        <w:tc>
          <w:tcPr>
            <w:tcW w:w="1296" w:type="dxa"/>
            <w:tcBorders>
              <w:top w:val="nil"/>
              <w:left w:val="nil"/>
              <w:bottom w:val="single" w:sz="4" w:space="0" w:color="000000"/>
              <w:right w:val="single" w:sz="4" w:space="0" w:color="000000"/>
            </w:tcBorders>
            <w:shd w:val="clear" w:color="auto" w:fill="auto"/>
            <w:vAlign w:val="center"/>
            <w:hideMark/>
          </w:tcPr>
          <w:p w14:paraId="323C844F" w14:textId="4610B17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6ACABB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81.350,88</w:t>
            </w:r>
          </w:p>
        </w:tc>
        <w:tc>
          <w:tcPr>
            <w:tcW w:w="910" w:type="dxa"/>
            <w:tcBorders>
              <w:top w:val="nil"/>
              <w:left w:val="nil"/>
              <w:bottom w:val="single" w:sz="4" w:space="0" w:color="000000"/>
              <w:right w:val="single" w:sz="4" w:space="0" w:color="000000"/>
            </w:tcBorders>
            <w:shd w:val="clear" w:color="auto" w:fill="auto"/>
            <w:vAlign w:val="center"/>
            <w:hideMark/>
          </w:tcPr>
          <w:p w14:paraId="39450764" w14:textId="0974A89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83954BB"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4D32607"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C0AECC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3132</w:t>
            </w:r>
          </w:p>
        </w:tc>
        <w:tc>
          <w:tcPr>
            <w:tcW w:w="3118" w:type="dxa"/>
            <w:tcBorders>
              <w:top w:val="nil"/>
              <w:left w:val="nil"/>
              <w:bottom w:val="single" w:sz="4" w:space="0" w:color="000000"/>
              <w:right w:val="single" w:sz="4" w:space="0" w:color="000000"/>
            </w:tcBorders>
            <w:shd w:val="clear" w:color="auto" w:fill="auto"/>
            <w:vAlign w:val="center"/>
            <w:hideMark/>
          </w:tcPr>
          <w:p w14:paraId="6A2AB7C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Doprinosi za obvezno zdravstveno osiguranje</w:t>
            </w:r>
          </w:p>
        </w:tc>
        <w:tc>
          <w:tcPr>
            <w:tcW w:w="1296" w:type="dxa"/>
            <w:tcBorders>
              <w:top w:val="nil"/>
              <w:left w:val="nil"/>
              <w:bottom w:val="single" w:sz="4" w:space="0" w:color="000000"/>
              <w:right w:val="single" w:sz="4" w:space="0" w:color="000000"/>
            </w:tcBorders>
            <w:shd w:val="clear" w:color="auto" w:fill="auto"/>
            <w:vAlign w:val="center"/>
            <w:hideMark/>
          </w:tcPr>
          <w:p w14:paraId="03D9488E" w14:textId="5B74E04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1C11B5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10.345,38</w:t>
            </w:r>
          </w:p>
        </w:tc>
        <w:tc>
          <w:tcPr>
            <w:tcW w:w="910" w:type="dxa"/>
            <w:tcBorders>
              <w:top w:val="nil"/>
              <w:left w:val="nil"/>
              <w:bottom w:val="single" w:sz="4" w:space="0" w:color="000000"/>
              <w:right w:val="single" w:sz="4" w:space="0" w:color="000000"/>
            </w:tcBorders>
            <w:shd w:val="clear" w:color="auto" w:fill="auto"/>
            <w:vAlign w:val="center"/>
            <w:hideMark/>
          </w:tcPr>
          <w:p w14:paraId="2842DBCF" w14:textId="2DCCF6C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7F749B3"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34076A9" w14:textId="77777777" w:rsidTr="00F120D7">
        <w:trPr>
          <w:trHeight w:val="333"/>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366B7C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w:t>
            </w:r>
          </w:p>
        </w:tc>
        <w:tc>
          <w:tcPr>
            <w:tcW w:w="3118" w:type="dxa"/>
            <w:tcBorders>
              <w:top w:val="nil"/>
              <w:left w:val="nil"/>
              <w:bottom w:val="single" w:sz="4" w:space="0" w:color="000000"/>
              <w:right w:val="single" w:sz="4" w:space="0" w:color="000000"/>
            </w:tcBorders>
            <w:shd w:val="clear" w:color="auto" w:fill="auto"/>
            <w:vAlign w:val="center"/>
            <w:hideMark/>
          </w:tcPr>
          <w:p w14:paraId="56A43F7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762324E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61.955,00</w:t>
            </w:r>
          </w:p>
        </w:tc>
        <w:tc>
          <w:tcPr>
            <w:tcW w:w="2410" w:type="dxa"/>
            <w:tcBorders>
              <w:top w:val="nil"/>
              <w:left w:val="nil"/>
              <w:bottom w:val="single" w:sz="4" w:space="0" w:color="000000"/>
              <w:right w:val="single" w:sz="4" w:space="0" w:color="000000"/>
            </w:tcBorders>
            <w:shd w:val="clear" w:color="auto" w:fill="auto"/>
            <w:vAlign w:val="center"/>
            <w:hideMark/>
          </w:tcPr>
          <w:p w14:paraId="3D4B6AA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28.189,82</w:t>
            </w:r>
          </w:p>
        </w:tc>
        <w:tc>
          <w:tcPr>
            <w:tcW w:w="910" w:type="dxa"/>
            <w:tcBorders>
              <w:top w:val="nil"/>
              <w:left w:val="nil"/>
              <w:bottom w:val="single" w:sz="4" w:space="0" w:color="000000"/>
              <w:right w:val="single" w:sz="4" w:space="0" w:color="000000"/>
            </w:tcBorders>
            <w:shd w:val="clear" w:color="auto" w:fill="auto"/>
            <w:vAlign w:val="center"/>
            <w:hideMark/>
          </w:tcPr>
          <w:p w14:paraId="1146DC6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45,50</w:t>
            </w:r>
          </w:p>
        </w:tc>
        <w:tc>
          <w:tcPr>
            <w:tcW w:w="1130" w:type="dxa"/>
            <w:tcBorders>
              <w:top w:val="nil"/>
              <w:left w:val="nil"/>
              <w:bottom w:val="nil"/>
              <w:right w:val="nil"/>
            </w:tcBorders>
            <w:shd w:val="clear" w:color="auto" w:fill="auto"/>
            <w:noWrap/>
            <w:vAlign w:val="bottom"/>
            <w:hideMark/>
          </w:tcPr>
          <w:p w14:paraId="66818E64"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4ACE32B" w14:textId="77777777" w:rsidTr="00F120D7">
        <w:trPr>
          <w:trHeight w:val="422"/>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B14ED3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3211</w:t>
            </w:r>
          </w:p>
        </w:tc>
        <w:tc>
          <w:tcPr>
            <w:tcW w:w="3118" w:type="dxa"/>
            <w:tcBorders>
              <w:top w:val="nil"/>
              <w:left w:val="nil"/>
              <w:bottom w:val="single" w:sz="4" w:space="0" w:color="000000"/>
              <w:right w:val="single" w:sz="4" w:space="0" w:color="000000"/>
            </w:tcBorders>
            <w:shd w:val="clear" w:color="auto" w:fill="auto"/>
            <w:vAlign w:val="center"/>
            <w:hideMark/>
          </w:tcPr>
          <w:p w14:paraId="5CDC225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Službena putovanja</w:t>
            </w:r>
          </w:p>
        </w:tc>
        <w:tc>
          <w:tcPr>
            <w:tcW w:w="1296" w:type="dxa"/>
            <w:tcBorders>
              <w:top w:val="nil"/>
              <w:left w:val="nil"/>
              <w:bottom w:val="single" w:sz="4" w:space="0" w:color="000000"/>
              <w:right w:val="single" w:sz="4" w:space="0" w:color="000000"/>
            </w:tcBorders>
            <w:shd w:val="clear" w:color="auto" w:fill="auto"/>
            <w:vAlign w:val="center"/>
            <w:hideMark/>
          </w:tcPr>
          <w:p w14:paraId="041DCCD5" w14:textId="2B25361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647B27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6.882,80</w:t>
            </w:r>
          </w:p>
        </w:tc>
        <w:tc>
          <w:tcPr>
            <w:tcW w:w="910" w:type="dxa"/>
            <w:tcBorders>
              <w:top w:val="nil"/>
              <w:left w:val="nil"/>
              <w:bottom w:val="single" w:sz="4" w:space="0" w:color="000000"/>
              <w:right w:val="single" w:sz="4" w:space="0" w:color="000000"/>
            </w:tcBorders>
            <w:shd w:val="clear" w:color="auto" w:fill="auto"/>
            <w:vAlign w:val="center"/>
            <w:hideMark/>
          </w:tcPr>
          <w:p w14:paraId="079643B8" w14:textId="4D98265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AB09E12"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EFDDEF9"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793BF2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3212</w:t>
            </w:r>
          </w:p>
        </w:tc>
        <w:tc>
          <w:tcPr>
            <w:tcW w:w="3118" w:type="dxa"/>
            <w:tcBorders>
              <w:top w:val="nil"/>
              <w:left w:val="nil"/>
              <w:bottom w:val="single" w:sz="4" w:space="0" w:color="000000"/>
              <w:right w:val="single" w:sz="4" w:space="0" w:color="000000"/>
            </w:tcBorders>
            <w:shd w:val="clear" w:color="auto" w:fill="auto"/>
            <w:vAlign w:val="center"/>
            <w:hideMark/>
          </w:tcPr>
          <w:p w14:paraId="4A19803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za prijevoz, za rad na terenu i odvojeni život</w:t>
            </w:r>
          </w:p>
        </w:tc>
        <w:tc>
          <w:tcPr>
            <w:tcW w:w="1296" w:type="dxa"/>
            <w:tcBorders>
              <w:top w:val="nil"/>
              <w:left w:val="nil"/>
              <w:bottom w:val="single" w:sz="4" w:space="0" w:color="000000"/>
              <w:right w:val="single" w:sz="4" w:space="0" w:color="000000"/>
            </w:tcBorders>
            <w:shd w:val="clear" w:color="auto" w:fill="auto"/>
            <w:vAlign w:val="center"/>
            <w:hideMark/>
          </w:tcPr>
          <w:p w14:paraId="4F592655" w14:textId="610363E4"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2A206EF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1.089,86</w:t>
            </w:r>
          </w:p>
        </w:tc>
        <w:tc>
          <w:tcPr>
            <w:tcW w:w="910" w:type="dxa"/>
            <w:tcBorders>
              <w:top w:val="nil"/>
              <w:left w:val="nil"/>
              <w:bottom w:val="single" w:sz="4" w:space="0" w:color="000000"/>
              <w:right w:val="single" w:sz="4" w:space="0" w:color="000000"/>
            </w:tcBorders>
            <w:shd w:val="clear" w:color="auto" w:fill="auto"/>
            <w:vAlign w:val="center"/>
            <w:hideMark/>
          </w:tcPr>
          <w:p w14:paraId="394E86CC" w14:textId="5A1C19F0"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1496245E"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1884E0A"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C5FD27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3213</w:t>
            </w:r>
          </w:p>
        </w:tc>
        <w:tc>
          <w:tcPr>
            <w:tcW w:w="3118" w:type="dxa"/>
            <w:tcBorders>
              <w:top w:val="nil"/>
              <w:left w:val="nil"/>
              <w:bottom w:val="single" w:sz="4" w:space="0" w:color="000000"/>
              <w:right w:val="single" w:sz="4" w:space="0" w:color="000000"/>
            </w:tcBorders>
            <w:shd w:val="clear" w:color="auto" w:fill="auto"/>
            <w:vAlign w:val="center"/>
            <w:hideMark/>
          </w:tcPr>
          <w:p w14:paraId="131A218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Stručno usavršavanje zaposlenika</w:t>
            </w:r>
          </w:p>
        </w:tc>
        <w:tc>
          <w:tcPr>
            <w:tcW w:w="1296" w:type="dxa"/>
            <w:tcBorders>
              <w:top w:val="nil"/>
              <w:left w:val="nil"/>
              <w:bottom w:val="single" w:sz="4" w:space="0" w:color="000000"/>
              <w:right w:val="single" w:sz="4" w:space="0" w:color="000000"/>
            </w:tcBorders>
            <w:shd w:val="clear" w:color="auto" w:fill="auto"/>
            <w:vAlign w:val="center"/>
            <w:hideMark/>
          </w:tcPr>
          <w:p w14:paraId="6C85335F" w14:textId="031BEC8D"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D10C2F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17145686" w14:textId="614E80F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2480F8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66ED496"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5269E9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3221</w:t>
            </w:r>
          </w:p>
        </w:tc>
        <w:tc>
          <w:tcPr>
            <w:tcW w:w="3118" w:type="dxa"/>
            <w:tcBorders>
              <w:top w:val="nil"/>
              <w:left w:val="nil"/>
              <w:bottom w:val="single" w:sz="4" w:space="0" w:color="000000"/>
              <w:right w:val="single" w:sz="4" w:space="0" w:color="000000"/>
            </w:tcBorders>
            <w:shd w:val="clear" w:color="auto" w:fill="auto"/>
            <w:vAlign w:val="center"/>
            <w:hideMark/>
          </w:tcPr>
          <w:p w14:paraId="359FDAB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Uredski materijal i ostali 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50970EC6" w14:textId="1BB64FDD"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E1EAFC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1.944,33</w:t>
            </w:r>
          </w:p>
        </w:tc>
        <w:tc>
          <w:tcPr>
            <w:tcW w:w="910" w:type="dxa"/>
            <w:tcBorders>
              <w:top w:val="nil"/>
              <w:left w:val="nil"/>
              <w:bottom w:val="single" w:sz="4" w:space="0" w:color="000000"/>
              <w:right w:val="single" w:sz="4" w:space="0" w:color="000000"/>
            </w:tcBorders>
            <w:shd w:val="clear" w:color="auto" w:fill="auto"/>
            <w:vAlign w:val="center"/>
            <w:hideMark/>
          </w:tcPr>
          <w:p w14:paraId="0A4A23B6" w14:textId="3C228A6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5948BC5B"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E36B985" w14:textId="77777777" w:rsidTr="00F52211">
        <w:trPr>
          <w:trHeight w:val="354"/>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4DE5D0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3223</w:t>
            </w:r>
          </w:p>
        </w:tc>
        <w:tc>
          <w:tcPr>
            <w:tcW w:w="3118" w:type="dxa"/>
            <w:tcBorders>
              <w:top w:val="nil"/>
              <w:left w:val="nil"/>
              <w:bottom w:val="single" w:sz="4" w:space="0" w:color="000000"/>
              <w:right w:val="single" w:sz="4" w:space="0" w:color="000000"/>
            </w:tcBorders>
            <w:shd w:val="clear" w:color="auto" w:fill="auto"/>
            <w:vAlign w:val="center"/>
            <w:hideMark/>
          </w:tcPr>
          <w:p w14:paraId="11A49E6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Energija</w:t>
            </w:r>
          </w:p>
        </w:tc>
        <w:tc>
          <w:tcPr>
            <w:tcW w:w="1296" w:type="dxa"/>
            <w:tcBorders>
              <w:top w:val="nil"/>
              <w:left w:val="nil"/>
              <w:bottom w:val="single" w:sz="4" w:space="0" w:color="000000"/>
              <w:right w:val="single" w:sz="4" w:space="0" w:color="000000"/>
            </w:tcBorders>
            <w:shd w:val="clear" w:color="auto" w:fill="auto"/>
            <w:vAlign w:val="center"/>
            <w:hideMark/>
          </w:tcPr>
          <w:p w14:paraId="735DB7CC" w14:textId="142394D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D60F9E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381,23</w:t>
            </w:r>
          </w:p>
        </w:tc>
        <w:tc>
          <w:tcPr>
            <w:tcW w:w="910" w:type="dxa"/>
            <w:tcBorders>
              <w:top w:val="nil"/>
              <w:left w:val="nil"/>
              <w:bottom w:val="single" w:sz="4" w:space="0" w:color="000000"/>
              <w:right w:val="single" w:sz="4" w:space="0" w:color="000000"/>
            </w:tcBorders>
            <w:shd w:val="clear" w:color="auto" w:fill="auto"/>
            <w:vAlign w:val="center"/>
            <w:hideMark/>
          </w:tcPr>
          <w:p w14:paraId="3C60093B" w14:textId="3410C6C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B4EEF14"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FFE89DB"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477E25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3231</w:t>
            </w:r>
          </w:p>
        </w:tc>
        <w:tc>
          <w:tcPr>
            <w:tcW w:w="3118" w:type="dxa"/>
            <w:tcBorders>
              <w:top w:val="nil"/>
              <w:left w:val="nil"/>
              <w:bottom w:val="single" w:sz="4" w:space="0" w:color="000000"/>
              <w:right w:val="single" w:sz="4" w:space="0" w:color="000000"/>
            </w:tcBorders>
            <w:shd w:val="clear" w:color="auto" w:fill="auto"/>
            <w:vAlign w:val="center"/>
            <w:hideMark/>
          </w:tcPr>
          <w:p w14:paraId="0632A78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telefona, interneta, pošte i prijevoza</w:t>
            </w:r>
          </w:p>
        </w:tc>
        <w:tc>
          <w:tcPr>
            <w:tcW w:w="1296" w:type="dxa"/>
            <w:tcBorders>
              <w:top w:val="nil"/>
              <w:left w:val="nil"/>
              <w:bottom w:val="single" w:sz="4" w:space="0" w:color="000000"/>
              <w:right w:val="single" w:sz="4" w:space="0" w:color="000000"/>
            </w:tcBorders>
            <w:shd w:val="clear" w:color="auto" w:fill="auto"/>
            <w:vAlign w:val="center"/>
            <w:hideMark/>
          </w:tcPr>
          <w:p w14:paraId="6050C46C" w14:textId="02A6AA9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158C44C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1.495,20</w:t>
            </w:r>
          </w:p>
        </w:tc>
        <w:tc>
          <w:tcPr>
            <w:tcW w:w="910" w:type="dxa"/>
            <w:tcBorders>
              <w:top w:val="nil"/>
              <w:left w:val="nil"/>
              <w:bottom w:val="single" w:sz="4" w:space="0" w:color="000000"/>
              <w:right w:val="single" w:sz="4" w:space="0" w:color="000000"/>
            </w:tcBorders>
            <w:shd w:val="clear" w:color="auto" w:fill="auto"/>
            <w:vAlign w:val="center"/>
            <w:hideMark/>
          </w:tcPr>
          <w:p w14:paraId="4137E641" w14:textId="4EEC3F9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18892288"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F123042"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2FB773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3233</w:t>
            </w:r>
          </w:p>
        </w:tc>
        <w:tc>
          <w:tcPr>
            <w:tcW w:w="3118" w:type="dxa"/>
            <w:tcBorders>
              <w:top w:val="nil"/>
              <w:left w:val="nil"/>
              <w:bottom w:val="single" w:sz="4" w:space="0" w:color="000000"/>
              <w:right w:val="single" w:sz="4" w:space="0" w:color="000000"/>
            </w:tcBorders>
            <w:shd w:val="clear" w:color="auto" w:fill="auto"/>
            <w:vAlign w:val="center"/>
            <w:hideMark/>
          </w:tcPr>
          <w:p w14:paraId="44195EF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promidžbe i informiranja</w:t>
            </w:r>
          </w:p>
        </w:tc>
        <w:tc>
          <w:tcPr>
            <w:tcW w:w="1296" w:type="dxa"/>
            <w:tcBorders>
              <w:top w:val="nil"/>
              <w:left w:val="nil"/>
              <w:bottom w:val="single" w:sz="4" w:space="0" w:color="000000"/>
              <w:right w:val="single" w:sz="4" w:space="0" w:color="000000"/>
            </w:tcBorders>
            <w:shd w:val="clear" w:color="auto" w:fill="auto"/>
            <w:vAlign w:val="center"/>
            <w:hideMark/>
          </w:tcPr>
          <w:p w14:paraId="1C5CBF03" w14:textId="584FAB84"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2D18A00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3.503,63</w:t>
            </w:r>
          </w:p>
        </w:tc>
        <w:tc>
          <w:tcPr>
            <w:tcW w:w="910" w:type="dxa"/>
            <w:tcBorders>
              <w:top w:val="nil"/>
              <w:left w:val="nil"/>
              <w:bottom w:val="single" w:sz="4" w:space="0" w:color="000000"/>
              <w:right w:val="single" w:sz="4" w:space="0" w:color="000000"/>
            </w:tcBorders>
            <w:shd w:val="clear" w:color="auto" w:fill="auto"/>
            <w:vAlign w:val="center"/>
            <w:hideMark/>
          </w:tcPr>
          <w:p w14:paraId="24C0AA8D" w14:textId="0373D1E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E5BB3E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3F2EB22" w14:textId="77777777" w:rsidTr="00F120D7">
        <w:trPr>
          <w:trHeight w:val="408"/>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27D257C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3237</w:t>
            </w:r>
          </w:p>
        </w:tc>
        <w:tc>
          <w:tcPr>
            <w:tcW w:w="3118" w:type="dxa"/>
            <w:tcBorders>
              <w:top w:val="nil"/>
              <w:left w:val="nil"/>
              <w:bottom w:val="single" w:sz="4" w:space="0" w:color="000000"/>
              <w:right w:val="single" w:sz="4" w:space="0" w:color="000000"/>
            </w:tcBorders>
            <w:shd w:val="clear" w:color="auto" w:fill="auto"/>
            <w:vAlign w:val="center"/>
            <w:hideMark/>
          </w:tcPr>
          <w:p w14:paraId="4B7E344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Intelektualne i osobne usluge</w:t>
            </w:r>
          </w:p>
        </w:tc>
        <w:tc>
          <w:tcPr>
            <w:tcW w:w="1296" w:type="dxa"/>
            <w:tcBorders>
              <w:top w:val="nil"/>
              <w:left w:val="nil"/>
              <w:bottom w:val="single" w:sz="4" w:space="0" w:color="000000"/>
              <w:right w:val="single" w:sz="4" w:space="0" w:color="000000"/>
            </w:tcBorders>
            <w:shd w:val="clear" w:color="auto" w:fill="auto"/>
            <w:vAlign w:val="center"/>
            <w:hideMark/>
          </w:tcPr>
          <w:p w14:paraId="43A7559D" w14:textId="0D475FE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58C442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7.024,69</w:t>
            </w:r>
          </w:p>
        </w:tc>
        <w:tc>
          <w:tcPr>
            <w:tcW w:w="910" w:type="dxa"/>
            <w:tcBorders>
              <w:top w:val="nil"/>
              <w:left w:val="nil"/>
              <w:bottom w:val="single" w:sz="4" w:space="0" w:color="000000"/>
              <w:right w:val="single" w:sz="4" w:space="0" w:color="000000"/>
            </w:tcBorders>
            <w:shd w:val="clear" w:color="auto" w:fill="auto"/>
            <w:vAlign w:val="center"/>
            <w:hideMark/>
          </w:tcPr>
          <w:p w14:paraId="711E3C2A" w14:textId="06381A5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FF70E78"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5C60AE4" w14:textId="77777777" w:rsidTr="00F120D7">
        <w:trPr>
          <w:trHeight w:val="4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933538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3238</w:t>
            </w:r>
          </w:p>
        </w:tc>
        <w:tc>
          <w:tcPr>
            <w:tcW w:w="3118" w:type="dxa"/>
            <w:tcBorders>
              <w:top w:val="nil"/>
              <w:left w:val="nil"/>
              <w:bottom w:val="single" w:sz="4" w:space="0" w:color="000000"/>
              <w:right w:val="single" w:sz="4" w:space="0" w:color="000000"/>
            </w:tcBorders>
            <w:shd w:val="clear" w:color="auto" w:fill="auto"/>
            <w:vAlign w:val="center"/>
            <w:hideMark/>
          </w:tcPr>
          <w:p w14:paraId="1117B27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Računalne usluge</w:t>
            </w:r>
          </w:p>
        </w:tc>
        <w:tc>
          <w:tcPr>
            <w:tcW w:w="1296" w:type="dxa"/>
            <w:tcBorders>
              <w:top w:val="nil"/>
              <w:left w:val="nil"/>
              <w:bottom w:val="single" w:sz="4" w:space="0" w:color="000000"/>
              <w:right w:val="single" w:sz="4" w:space="0" w:color="000000"/>
            </w:tcBorders>
            <w:shd w:val="clear" w:color="auto" w:fill="auto"/>
            <w:vAlign w:val="center"/>
            <w:hideMark/>
          </w:tcPr>
          <w:p w14:paraId="55264BF5" w14:textId="315705C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93CCFD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6CFE6323" w14:textId="7286318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762E357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642FF82" w14:textId="77777777" w:rsidTr="00F120D7">
        <w:trPr>
          <w:trHeight w:val="421"/>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99CC5F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3239</w:t>
            </w:r>
          </w:p>
        </w:tc>
        <w:tc>
          <w:tcPr>
            <w:tcW w:w="3118" w:type="dxa"/>
            <w:tcBorders>
              <w:top w:val="nil"/>
              <w:left w:val="nil"/>
              <w:bottom w:val="single" w:sz="4" w:space="0" w:color="000000"/>
              <w:right w:val="single" w:sz="4" w:space="0" w:color="000000"/>
            </w:tcBorders>
            <w:shd w:val="clear" w:color="auto" w:fill="auto"/>
            <w:vAlign w:val="center"/>
            <w:hideMark/>
          </w:tcPr>
          <w:p w14:paraId="0E6449B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Ostale usluge</w:t>
            </w:r>
          </w:p>
        </w:tc>
        <w:tc>
          <w:tcPr>
            <w:tcW w:w="1296" w:type="dxa"/>
            <w:tcBorders>
              <w:top w:val="nil"/>
              <w:left w:val="nil"/>
              <w:bottom w:val="single" w:sz="4" w:space="0" w:color="000000"/>
              <w:right w:val="single" w:sz="4" w:space="0" w:color="000000"/>
            </w:tcBorders>
            <w:shd w:val="clear" w:color="auto" w:fill="auto"/>
            <w:vAlign w:val="center"/>
            <w:hideMark/>
          </w:tcPr>
          <w:p w14:paraId="386D8E6F" w14:textId="21281B9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DFE09B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597,25</w:t>
            </w:r>
          </w:p>
        </w:tc>
        <w:tc>
          <w:tcPr>
            <w:tcW w:w="910" w:type="dxa"/>
            <w:tcBorders>
              <w:top w:val="nil"/>
              <w:left w:val="nil"/>
              <w:bottom w:val="single" w:sz="4" w:space="0" w:color="000000"/>
              <w:right w:val="single" w:sz="4" w:space="0" w:color="000000"/>
            </w:tcBorders>
            <w:shd w:val="clear" w:color="auto" w:fill="auto"/>
            <w:vAlign w:val="center"/>
            <w:hideMark/>
          </w:tcPr>
          <w:p w14:paraId="75C6D58A" w14:textId="1AB7EF70"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67FB1434"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CFD29E4"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7350F84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3241</w:t>
            </w:r>
          </w:p>
        </w:tc>
        <w:tc>
          <w:tcPr>
            <w:tcW w:w="3118" w:type="dxa"/>
            <w:tcBorders>
              <w:top w:val="nil"/>
              <w:left w:val="nil"/>
              <w:bottom w:val="single" w:sz="4" w:space="0" w:color="000000"/>
              <w:right w:val="single" w:sz="4" w:space="0" w:color="000000"/>
            </w:tcBorders>
            <w:shd w:val="clear" w:color="auto" w:fill="auto"/>
            <w:vAlign w:val="center"/>
            <w:hideMark/>
          </w:tcPr>
          <w:p w14:paraId="04521577"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troškova osobama izvan radnog odnosa</w:t>
            </w:r>
          </w:p>
        </w:tc>
        <w:tc>
          <w:tcPr>
            <w:tcW w:w="1296" w:type="dxa"/>
            <w:tcBorders>
              <w:top w:val="nil"/>
              <w:left w:val="nil"/>
              <w:bottom w:val="single" w:sz="4" w:space="0" w:color="000000"/>
              <w:right w:val="single" w:sz="4" w:space="0" w:color="000000"/>
            </w:tcBorders>
            <w:shd w:val="clear" w:color="auto" w:fill="auto"/>
            <w:vAlign w:val="center"/>
            <w:hideMark/>
          </w:tcPr>
          <w:p w14:paraId="5C0E1CF8" w14:textId="1D69654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247A2C6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4.861,13</w:t>
            </w:r>
          </w:p>
        </w:tc>
        <w:tc>
          <w:tcPr>
            <w:tcW w:w="910" w:type="dxa"/>
            <w:tcBorders>
              <w:top w:val="nil"/>
              <w:left w:val="nil"/>
              <w:bottom w:val="single" w:sz="4" w:space="0" w:color="000000"/>
              <w:right w:val="single" w:sz="4" w:space="0" w:color="000000"/>
            </w:tcBorders>
            <w:shd w:val="clear" w:color="auto" w:fill="auto"/>
            <w:vAlign w:val="center"/>
            <w:hideMark/>
          </w:tcPr>
          <w:p w14:paraId="7E069B92" w14:textId="6F5EC9C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5E8B31AA"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0DAD36D" w14:textId="77777777" w:rsidTr="00F120D7">
        <w:trPr>
          <w:trHeight w:val="479"/>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73CCF3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3293</w:t>
            </w:r>
          </w:p>
        </w:tc>
        <w:tc>
          <w:tcPr>
            <w:tcW w:w="3118" w:type="dxa"/>
            <w:tcBorders>
              <w:top w:val="nil"/>
              <w:left w:val="nil"/>
              <w:bottom w:val="single" w:sz="4" w:space="0" w:color="000000"/>
              <w:right w:val="single" w:sz="4" w:space="0" w:color="000000"/>
            </w:tcBorders>
            <w:shd w:val="clear" w:color="auto" w:fill="auto"/>
            <w:vAlign w:val="center"/>
            <w:hideMark/>
          </w:tcPr>
          <w:p w14:paraId="32E66472"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Reprezentacija</w:t>
            </w:r>
          </w:p>
        </w:tc>
        <w:tc>
          <w:tcPr>
            <w:tcW w:w="1296" w:type="dxa"/>
            <w:tcBorders>
              <w:top w:val="nil"/>
              <w:left w:val="nil"/>
              <w:bottom w:val="single" w:sz="4" w:space="0" w:color="000000"/>
              <w:right w:val="single" w:sz="4" w:space="0" w:color="000000"/>
            </w:tcBorders>
            <w:shd w:val="clear" w:color="auto" w:fill="auto"/>
            <w:vAlign w:val="center"/>
            <w:hideMark/>
          </w:tcPr>
          <w:p w14:paraId="4BA83FBB" w14:textId="226FBC99"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10A1CC5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409,70</w:t>
            </w:r>
          </w:p>
        </w:tc>
        <w:tc>
          <w:tcPr>
            <w:tcW w:w="910" w:type="dxa"/>
            <w:tcBorders>
              <w:top w:val="nil"/>
              <w:left w:val="nil"/>
              <w:bottom w:val="single" w:sz="4" w:space="0" w:color="000000"/>
              <w:right w:val="single" w:sz="4" w:space="0" w:color="000000"/>
            </w:tcBorders>
            <w:shd w:val="clear" w:color="auto" w:fill="auto"/>
            <w:vAlign w:val="center"/>
            <w:hideMark/>
          </w:tcPr>
          <w:p w14:paraId="2A29E70D" w14:textId="33A3033D"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4919A5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A3B5849"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5EDAB93"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Izvor financiranja   05</w:t>
            </w:r>
          </w:p>
        </w:tc>
        <w:tc>
          <w:tcPr>
            <w:tcW w:w="3118" w:type="dxa"/>
            <w:tcBorders>
              <w:top w:val="nil"/>
              <w:left w:val="nil"/>
              <w:bottom w:val="single" w:sz="4" w:space="0" w:color="000000"/>
              <w:right w:val="single" w:sz="4" w:space="0" w:color="000000"/>
            </w:tcBorders>
            <w:shd w:val="clear" w:color="auto" w:fill="auto"/>
            <w:vAlign w:val="center"/>
            <w:hideMark/>
          </w:tcPr>
          <w:p w14:paraId="69DC2255"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POMOĆI</w:t>
            </w:r>
          </w:p>
        </w:tc>
        <w:tc>
          <w:tcPr>
            <w:tcW w:w="1296" w:type="dxa"/>
            <w:tcBorders>
              <w:top w:val="nil"/>
              <w:left w:val="nil"/>
              <w:bottom w:val="single" w:sz="4" w:space="0" w:color="000000"/>
              <w:right w:val="single" w:sz="4" w:space="0" w:color="000000"/>
            </w:tcBorders>
            <w:shd w:val="clear" w:color="auto" w:fill="auto"/>
            <w:vAlign w:val="center"/>
            <w:hideMark/>
          </w:tcPr>
          <w:p w14:paraId="3D1E0CD1"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425.815,00</w:t>
            </w:r>
          </w:p>
        </w:tc>
        <w:tc>
          <w:tcPr>
            <w:tcW w:w="2410" w:type="dxa"/>
            <w:tcBorders>
              <w:top w:val="nil"/>
              <w:left w:val="nil"/>
              <w:bottom w:val="single" w:sz="4" w:space="0" w:color="000000"/>
              <w:right w:val="single" w:sz="4" w:space="0" w:color="000000"/>
            </w:tcBorders>
            <w:shd w:val="clear" w:color="auto" w:fill="auto"/>
            <w:vAlign w:val="center"/>
            <w:hideMark/>
          </w:tcPr>
          <w:p w14:paraId="44DE8405"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400.153,38</w:t>
            </w:r>
          </w:p>
        </w:tc>
        <w:tc>
          <w:tcPr>
            <w:tcW w:w="910" w:type="dxa"/>
            <w:tcBorders>
              <w:top w:val="nil"/>
              <w:left w:val="nil"/>
              <w:bottom w:val="single" w:sz="4" w:space="0" w:color="000000"/>
              <w:right w:val="single" w:sz="4" w:space="0" w:color="000000"/>
            </w:tcBorders>
            <w:shd w:val="clear" w:color="auto" w:fill="auto"/>
            <w:vAlign w:val="center"/>
            <w:hideMark/>
          </w:tcPr>
          <w:p w14:paraId="277B8258" w14:textId="77777777" w:rsidR="00165B1F" w:rsidRPr="00F120D7" w:rsidRDefault="00165B1F" w:rsidP="005C0B7C">
            <w:pPr>
              <w:spacing w:after="0" w:line="240" w:lineRule="auto"/>
              <w:jc w:val="center"/>
              <w:rPr>
                <w:rFonts w:ascii="Times New Roman" w:eastAsia="Times New Roman" w:hAnsi="Times New Roman" w:cs="Times New Roman"/>
                <w:i/>
                <w:iCs/>
                <w:color w:val="000000"/>
                <w:lang w:eastAsia="hr-HR"/>
              </w:rPr>
            </w:pPr>
            <w:r w:rsidRPr="00F120D7">
              <w:rPr>
                <w:rFonts w:ascii="Times New Roman" w:eastAsia="Times New Roman" w:hAnsi="Times New Roman" w:cs="Times New Roman"/>
                <w:i/>
                <w:iCs/>
                <w:color w:val="000000"/>
                <w:lang w:eastAsia="hr-HR"/>
              </w:rPr>
              <w:t>93,97</w:t>
            </w:r>
          </w:p>
        </w:tc>
        <w:tc>
          <w:tcPr>
            <w:tcW w:w="1130" w:type="dxa"/>
            <w:tcBorders>
              <w:top w:val="nil"/>
              <w:left w:val="nil"/>
              <w:bottom w:val="nil"/>
              <w:right w:val="nil"/>
            </w:tcBorders>
            <w:shd w:val="clear" w:color="auto" w:fill="auto"/>
            <w:noWrap/>
            <w:vAlign w:val="bottom"/>
            <w:hideMark/>
          </w:tcPr>
          <w:p w14:paraId="48442B3B" w14:textId="77777777" w:rsidR="00165B1F" w:rsidRPr="005C0B7C" w:rsidRDefault="00165B1F" w:rsidP="005C0B7C">
            <w:pPr>
              <w:spacing w:after="0" w:line="240" w:lineRule="auto"/>
              <w:jc w:val="center"/>
              <w:rPr>
                <w:rFonts w:ascii="Times New Roman" w:eastAsia="Times New Roman" w:hAnsi="Times New Roman" w:cs="Times New Roman"/>
                <w:i/>
                <w:iCs/>
                <w:color w:val="000000"/>
                <w:sz w:val="24"/>
                <w:szCs w:val="24"/>
                <w:lang w:eastAsia="hr-HR"/>
              </w:rPr>
            </w:pPr>
          </w:p>
        </w:tc>
      </w:tr>
      <w:tr w:rsidR="00C463E9" w:rsidRPr="005C0B7C" w14:paraId="2F86E6D4" w14:textId="77777777" w:rsidTr="00F52211">
        <w:trPr>
          <w:trHeight w:val="51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1B6F14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w:t>
            </w:r>
          </w:p>
        </w:tc>
        <w:tc>
          <w:tcPr>
            <w:tcW w:w="3118" w:type="dxa"/>
            <w:tcBorders>
              <w:top w:val="nil"/>
              <w:left w:val="nil"/>
              <w:bottom w:val="single" w:sz="4" w:space="0" w:color="000000"/>
              <w:right w:val="single" w:sz="4" w:space="0" w:color="000000"/>
            </w:tcBorders>
            <w:shd w:val="clear" w:color="auto" w:fill="auto"/>
            <w:vAlign w:val="center"/>
            <w:hideMark/>
          </w:tcPr>
          <w:p w14:paraId="7252843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Rashodi za zaposlene</w:t>
            </w:r>
          </w:p>
        </w:tc>
        <w:tc>
          <w:tcPr>
            <w:tcW w:w="1296" w:type="dxa"/>
            <w:tcBorders>
              <w:top w:val="nil"/>
              <w:left w:val="nil"/>
              <w:bottom w:val="single" w:sz="4" w:space="0" w:color="000000"/>
              <w:right w:val="single" w:sz="4" w:space="0" w:color="000000"/>
            </w:tcBorders>
            <w:shd w:val="clear" w:color="auto" w:fill="auto"/>
            <w:vAlign w:val="center"/>
            <w:hideMark/>
          </w:tcPr>
          <w:p w14:paraId="62A6E28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326.000,00</w:t>
            </w:r>
          </w:p>
        </w:tc>
        <w:tc>
          <w:tcPr>
            <w:tcW w:w="2410" w:type="dxa"/>
            <w:tcBorders>
              <w:top w:val="nil"/>
              <w:left w:val="nil"/>
              <w:bottom w:val="single" w:sz="4" w:space="0" w:color="000000"/>
              <w:right w:val="single" w:sz="4" w:space="0" w:color="000000"/>
            </w:tcBorders>
            <w:shd w:val="clear" w:color="auto" w:fill="auto"/>
            <w:vAlign w:val="center"/>
            <w:hideMark/>
          </w:tcPr>
          <w:p w14:paraId="374D703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336.140,73</w:t>
            </w:r>
          </w:p>
        </w:tc>
        <w:tc>
          <w:tcPr>
            <w:tcW w:w="910" w:type="dxa"/>
            <w:tcBorders>
              <w:top w:val="nil"/>
              <w:left w:val="nil"/>
              <w:bottom w:val="single" w:sz="4" w:space="0" w:color="000000"/>
              <w:right w:val="single" w:sz="4" w:space="0" w:color="000000"/>
            </w:tcBorders>
            <w:shd w:val="clear" w:color="auto" w:fill="auto"/>
            <w:vAlign w:val="center"/>
            <w:hideMark/>
          </w:tcPr>
          <w:p w14:paraId="30D6F50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103,11</w:t>
            </w:r>
          </w:p>
        </w:tc>
        <w:tc>
          <w:tcPr>
            <w:tcW w:w="1130" w:type="dxa"/>
            <w:tcBorders>
              <w:top w:val="nil"/>
              <w:left w:val="nil"/>
              <w:bottom w:val="nil"/>
              <w:right w:val="nil"/>
            </w:tcBorders>
            <w:shd w:val="clear" w:color="auto" w:fill="auto"/>
            <w:noWrap/>
            <w:vAlign w:val="bottom"/>
            <w:hideMark/>
          </w:tcPr>
          <w:p w14:paraId="4181E6FA"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9E3390A" w14:textId="77777777" w:rsidTr="00F120D7">
        <w:trPr>
          <w:trHeight w:val="477"/>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5521CF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3111</w:t>
            </w:r>
          </w:p>
        </w:tc>
        <w:tc>
          <w:tcPr>
            <w:tcW w:w="3118" w:type="dxa"/>
            <w:tcBorders>
              <w:top w:val="nil"/>
              <w:left w:val="nil"/>
              <w:bottom w:val="single" w:sz="4" w:space="0" w:color="000000"/>
              <w:right w:val="single" w:sz="4" w:space="0" w:color="000000"/>
            </w:tcBorders>
            <w:shd w:val="clear" w:color="auto" w:fill="auto"/>
            <w:vAlign w:val="center"/>
            <w:hideMark/>
          </w:tcPr>
          <w:p w14:paraId="1A2E3AA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Plaće za redovan rad</w:t>
            </w:r>
          </w:p>
        </w:tc>
        <w:tc>
          <w:tcPr>
            <w:tcW w:w="1296" w:type="dxa"/>
            <w:tcBorders>
              <w:top w:val="nil"/>
              <w:left w:val="nil"/>
              <w:bottom w:val="single" w:sz="4" w:space="0" w:color="000000"/>
              <w:right w:val="single" w:sz="4" w:space="0" w:color="000000"/>
            </w:tcBorders>
            <w:shd w:val="clear" w:color="auto" w:fill="auto"/>
            <w:vAlign w:val="center"/>
            <w:hideMark/>
          </w:tcPr>
          <w:p w14:paraId="7A8CC300" w14:textId="0FC003D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521C8E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303.110,73</w:t>
            </w:r>
          </w:p>
        </w:tc>
        <w:tc>
          <w:tcPr>
            <w:tcW w:w="910" w:type="dxa"/>
            <w:tcBorders>
              <w:top w:val="nil"/>
              <w:left w:val="nil"/>
              <w:bottom w:val="single" w:sz="4" w:space="0" w:color="000000"/>
              <w:right w:val="single" w:sz="4" w:space="0" w:color="000000"/>
            </w:tcBorders>
            <w:shd w:val="clear" w:color="auto" w:fill="auto"/>
            <w:vAlign w:val="center"/>
            <w:hideMark/>
          </w:tcPr>
          <w:p w14:paraId="7C24B043" w14:textId="54603049"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68AE796"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07ADCD6"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D0FFC6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3132</w:t>
            </w:r>
          </w:p>
        </w:tc>
        <w:tc>
          <w:tcPr>
            <w:tcW w:w="3118" w:type="dxa"/>
            <w:tcBorders>
              <w:top w:val="nil"/>
              <w:left w:val="nil"/>
              <w:bottom w:val="single" w:sz="4" w:space="0" w:color="000000"/>
              <w:right w:val="single" w:sz="4" w:space="0" w:color="000000"/>
            </w:tcBorders>
            <w:shd w:val="clear" w:color="auto" w:fill="auto"/>
            <w:vAlign w:val="center"/>
            <w:hideMark/>
          </w:tcPr>
          <w:p w14:paraId="495348C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Doprinosi za obvezno zdravstveno osiguranje</w:t>
            </w:r>
          </w:p>
        </w:tc>
        <w:tc>
          <w:tcPr>
            <w:tcW w:w="1296" w:type="dxa"/>
            <w:tcBorders>
              <w:top w:val="nil"/>
              <w:left w:val="nil"/>
              <w:bottom w:val="single" w:sz="4" w:space="0" w:color="000000"/>
              <w:right w:val="single" w:sz="4" w:space="0" w:color="000000"/>
            </w:tcBorders>
            <w:shd w:val="clear" w:color="auto" w:fill="auto"/>
            <w:vAlign w:val="center"/>
            <w:hideMark/>
          </w:tcPr>
          <w:p w14:paraId="1B1C8F3B" w14:textId="092950E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1AF8B1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33.030,00</w:t>
            </w:r>
          </w:p>
        </w:tc>
        <w:tc>
          <w:tcPr>
            <w:tcW w:w="910" w:type="dxa"/>
            <w:tcBorders>
              <w:top w:val="nil"/>
              <w:left w:val="nil"/>
              <w:bottom w:val="single" w:sz="4" w:space="0" w:color="000000"/>
              <w:right w:val="single" w:sz="4" w:space="0" w:color="000000"/>
            </w:tcBorders>
            <w:shd w:val="clear" w:color="auto" w:fill="auto"/>
            <w:vAlign w:val="center"/>
            <w:hideMark/>
          </w:tcPr>
          <w:p w14:paraId="36780E8E" w14:textId="1111E62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6D33A93"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6CA2B6F" w14:textId="77777777" w:rsidTr="00F120D7">
        <w:trPr>
          <w:trHeight w:val="479"/>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476E9D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w:t>
            </w:r>
          </w:p>
        </w:tc>
        <w:tc>
          <w:tcPr>
            <w:tcW w:w="3118" w:type="dxa"/>
            <w:tcBorders>
              <w:top w:val="nil"/>
              <w:left w:val="nil"/>
              <w:bottom w:val="single" w:sz="4" w:space="0" w:color="000000"/>
              <w:right w:val="single" w:sz="4" w:space="0" w:color="000000"/>
            </w:tcBorders>
            <w:shd w:val="clear" w:color="auto" w:fill="auto"/>
            <w:vAlign w:val="center"/>
            <w:hideMark/>
          </w:tcPr>
          <w:p w14:paraId="40F6A13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5094BF2F"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99.815,00</w:t>
            </w:r>
          </w:p>
        </w:tc>
        <w:tc>
          <w:tcPr>
            <w:tcW w:w="2410" w:type="dxa"/>
            <w:tcBorders>
              <w:top w:val="nil"/>
              <w:left w:val="nil"/>
              <w:bottom w:val="single" w:sz="4" w:space="0" w:color="000000"/>
              <w:right w:val="single" w:sz="4" w:space="0" w:color="000000"/>
            </w:tcBorders>
            <w:shd w:val="clear" w:color="auto" w:fill="auto"/>
            <w:vAlign w:val="center"/>
            <w:hideMark/>
          </w:tcPr>
          <w:p w14:paraId="75774AF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64.012,65</w:t>
            </w:r>
          </w:p>
        </w:tc>
        <w:tc>
          <w:tcPr>
            <w:tcW w:w="910" w:type="dxa"/>
            <w:tcBorders>
              <w:top w:val="nil"/>
              <w:left w:val="nil"/>
              <w:bottom w:val="single" w:sz="4" w:space="0" w:color="000000"/>
              <w:right w:val="single" w:sz="4" w:space="0" w:color="000000"/>
            </w:tcBorders>
            <w:shd w:val="clear" w:color="auto" w:fill="auto"/>
            <w:vAlign w:val="center"/>
            <w:hideMark/>
          </w:tcPr>
          <w:p w14:paraId="7C84886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64,13</w:t>
            </w:r>
          </w:p>
        </w:tc>
        <w:tc>
          <w:tcPr>
            <w:tcW w:w="1130" w:type="dxa"/>
            <w:tcBorders>
              <w:top w:val="nil"/>
              <w:left w:val="nil"/>
              <w:bottom w:val="nil"/>
              <w:right w:val="nil"/>
            </w:tcBorders>
            <w:shd w:val="clear" w:color="auto" w:fill="auto"/>
            <w:noWrap/>
            <w:vAlign w:val="bottom"/>
            <w:hideMark/>
          </w:tcPr>
          <w:p w14:paraId="0370BB32"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768BBDC" w14:textId="77777777" w:rsidTr="00F120D7">
        <w:trPr>
          <w:trHeight w:val="429"/>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4F0F2A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3211</w:t>
            </w:r>
          </w:p>
        </w:tc>
        <w:tc>
          <w:tcPr>
            <w:tcW w:w="3118" w:type="dxa"/>
            <w:tcBorders>
              <w:top w:val="nil"/>
              <w:left w:val="nil"/>
              <w:bottom w:val="single" w:sz="4" w:space="0" w:color="000000"/>
              <w:right w:val="single" w:sz="4" w:space="0" w:color="000000"/>
            </w:tcBorders>
            <w:shd w:val="clear" w:color="auto" w:fill="auto"/>
            <w:vAlign w:val="center"/>
            <w:hideMark/>
          </w:tcPr>
          <w:p w14:paraId="0A98D1E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Službena putovanja</w:t>
            </w:r>
          </w:p>
        </w:tc>
        <w:tc>
          <w:tcPr>
            <w:tcW w:w="1296" w:type="dxa"/>
            <w:tcBorders>
              <w:top w:val="nil"/>
              <w:left w:val="nil"/>
              <w:bottom w:val="single" w:sz="4" w:space="0" w:color="000000"/>
              <w:right w:val="single" w:sz="4" w:space="0" w:color="000000"/>
            </w:tcBorders>
            <w:shd w:val="clear" w:color="auto" w:fill="auto"/>
            <w:vAlign w:val="center"/>
            <w:hideMark/>
          </w:tcPr>
          <w:p w14:paraId="23B91C01" w14:textId="76B7CC3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F7415B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5.720,29</w:t>
            </w:r>
          </w:p>
        </w:tc>
        <w:tc>
          <w:tcPr>
            <w:tcW w:w="910" w:type="dxa"/>
            <w:tcBorders>
              <w:top w:val="nil"/>
              <w:left w:val="nil"/>
              <w:bottom w:val="single" w:sz="4" w:space="0" w:color="000000"/>
              <w:right w:val="single" w:sz="4" w:space="0" w:color="000000"/>
            </w:tcBorders>
            <w:shd w:val="clear" w:color="auto" w:fill="auto"/>
            <w:vAlign w:val="center"/>
            <w:hideMark/>
          </w:tcPr>
          <w:p w14:paraId="73723F5B" w14:textId="04218C6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0F58E82"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42023EF"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7FBCE5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3212</w:t>
            </w:r>
          </w:p>
        </w:tc>
        <w:tc>
          <w:tcPr>
            <w:tcW w:w="3118" w:type="dxa"/>
            <w:tcBorders>
              <w:top w:val="nil"/>
              <w:left w:val="nil"/>
              <w:bottom w:val="single" w:sz="4" w:space="0" w:color="000000"/>
              <w:right w:val="single" w:sz="4" w:space="0" w:color="000000"/>
            </w:tcBorders>
            <w:shd w:val="clear" w:color="auto" w:fill="auto"/>
            <w:vAlign w:val="center"/>
            <w:hideMark/>
          </w:tcPr>
          <w:p w14:paraId="52271E9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za prijevoz, za rad na terenu i odvojeni život</w:t>
            </w:r>
          </w:p>
        </w:tc>
        <w:tc>
          <w:tcPr>
            <w:tcW w:w="1296" w:type="dxa"/>
            <w:tcBorders>
              <w:top w:val="nil"/>
              <w:left w:val="nil"/>
              <w:bottom w:val="single" w:sz="4" w:space="0" w:color="000000"/>
              <w:right w:val="single" w:sz="4" w:space="0" w:color="000000"/>
            </w:tcBorders>
            <w:shd w:val="clear" w:color="auto" w:fill="auto"/>
            <w:vAlign w:val="center"/>
            <w:hideMark/>
          </w:tcPr>
          <w:p w14:paraId="41CC8767" w14:textId="161531F4"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5E73556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68,95</w:t>
            </w:r>
          </w:p>
        </w:tc>
        <w:tc>
          <w:tcPr>
            <w:tcW w:w="910" w:type="dxa"/>
            <w:tcBorders>
              <w:top w:val="nil"/>
              <w:left w:val="nil"/>
              <w:bottom w:val="single" w:sz="4" w:space="0" w:color="000000"/>
              <w:right w:val="single" w:sz="4" w:space="0" w:color="000000"/>
            </w:tcBorders>
            <w:shd w:val="clear" w:color="auto" w:fill="auto"/>
            <w:vAlign w:val="center"/>
            <w:hideMark/>
          </w:tcPr>
          <w:p w14:paraId="099F57B6" w14:textId="462A16E3"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40F4A30E"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141DB701" w14:textId="77777777" w:rsidTr="00F52211">
        <w:trPr>
          <w:trHeight w:val="6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600F451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3213</w:t>
            </w:r>
          </w:p>
        </w:tc>
        <w:tc>
          <w:tcPr>
            <w:tcW w:w="3118" w:type="dxa"/>
            <w:tcBorders>
              <w:top w:val="nil"/>
              <w:left w:val="nil"/>
              <w:bottom w:val="single" w:sz="4" w:space="0" w:color="000000"/>
              <w:right w:val="single" w:sz="4" w:space="0" w:color="000000"/>
            </w:tcBorders>
            <w:shd w:val="clear" w:color="auto" w:fill="auto"/>
            <w:vAlign w:val="center"/>
            <w:hideMark/>
          </w:tcPr>
          <w:p w14:paraId="44DB59B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Stručno usavršavanje zaposlenika</w:t>
            </w:r>
          </w:p>
        </w:tc>
        <w:tc>
          <w:tcPr>
            <w:tcW w:w="1296" w:type="dxa"/>
            <w:tcBorders>
              <w:top w:val="nil"/>
              <w:left w:val="nil"/>
              <w:bottom w:val="single" w:sz="4" w:space="0" w:color="000000"/>
              <w:right w:val="single" w:sz="4" w:space="0" w:color="000000"/>
            </w:tcBorders>
            <w:shd w:val="clear" w:color="auto" w:fill="auto"/>
            <w:vAlign w:val="center"/>
            <w:hideMark/>
          </w:tcPr>
          <w:p w14:paraId="2E0D2502" w14:textId="57BCD39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95196A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5A0DE8E6" w14:textId="020EFD04"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62ACA408"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30A8EC63"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3024AA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3221</w:t>
            </w:r>
          </w:p>
        </w:tc>
        <w:tc>
          <w:tcPr>
            <w:tcW w:w="3118" w:type="dxa"/>
            <w:tcBorders>
              <w:top w:val="nil"/>
              <w:left w:val="nil"/>
              <w:bottom w:val="single" w:sz="4" w:space="0" w:color="000000"/>
              <w:right w:val="single" w:sz="4" w:space="0" w:color="000000"/>
            </w:tcBorders>
            <w:shd w:val="clear" w:color="auto" w:fill="auto"/>
            <w:vAlign w:val="center"/>
            <w:hideMark/>
          </w:tcPr>
          <w:p w14:paraId="19F69F5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Uredski materijal i ostali materijalni rashodi</w:t>
            </w:r>
          </w:p>
        </w:tc>
        <w:tc>
          <w:tcPr>
            <w:tcW w:w="1296" w:type="dxa"/>
            <w:tcBorders>
              <w:top w:val="nil"/>
              <w:left w:val="nil"/>
              <w:bottom w:val="single" w:sz="4" w:space="0" w:color="000000"/>
              <w:right w:val="single" w:sz="4" w:space="0" w:color="000000"/>
            </w:tcBorders>
            <w:shd w:val="clear" w:color="auto" w:fill="auto"/>
            <w:vAlign w:val="center"/>
            <w:hideMark/>
          </w:tcPr>
          <w:p w14:paraId="254CA38E" w14:textId="140D20CD"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82B403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7E4BA90A" w14:textId="56B0219B"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7A0D8C6"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7681367" w14:textId="77777777" w:rsidTr="00F120D7">
        <w:trPr>
          <w:trHeight w:val="37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B815E3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3223</w:t>
            </w:r>
          </w:p>
        </w:tc>
        <w:tc>
          <w:tcPr>
            <w:tcW w:w="3118" w:type="dxa"/>
            <w:tcBorders>
              <w:top w:val="nil"/>
              <w:left w:val="nil"/>
              <w:bottom w:val="single" w:sz="4" w:space="0" w:color="000000"/>
              <w:right w:val="single" w:sz="4" w:space="0" w:color="000000"/>
            </w:tcBorders>
            <w:shd w:val="clear" w:color="auto" w:fill="auto"/>
            <w:vAlign w:val="center"/>
            <w:hideMark/>
          </w:tcPr>
          <w:p w14:paraId="0D0946E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Energija</w:t>
            </w:r>
          </w:p>
        </w:tc>
        <w:tc>
          <w:tcPr>
            <w:tcW w:w="1296" w:type="dxa"/>
            <w:tcBorders>
              <w:top w:val="nil"/>
              <w:left w:val="nil"/>
              <w:bottom w:val="single" w:sz="4" w:space="0" w:color="000000"/>
              <w:right w:val="single" w:sz="4" w:space="0" w:color="000000"/>
            </w:tcBorders>
            <w:shd w:val="clear" w:color="auto" w:fill="auto"/>
            <w:vAlign w:val="center"/>
            <w:hideMark/>
          </w:tcPr>
          <w:p w14:paraId="37F26968" w14:textId="3E060C94"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9C291E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2.160,31</w:t>
            </w:r>
          </w:p>
        </w:tc>
        <w:tc>
          <w:tcPr>
            <w:tcW w:w="910" w:type="dxa"/>
            <w:tcBorders>
              <w:top w:val="nil"/>
              <w:left w:val="nil"/>
              <w:bottom w:val="single" w:sz="4" w:space="0" w:color="000000"/>
              <w:right w:val="single" w:sz="4" w:space="0" w:color="000000"/>
            </w:tcBorders>
            <w:shd w:val="clear" w:color="auto" w:fill="auto"/>
            <w:vAlign w:val="center"/>
            <w:hideMark/>
          </w:tcPr>
          <w:p w14:paraId="6864EE16" w14:textId="091D585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30EBCA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756E51C"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EBD543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3231</w:t>
            </w:r>
          </w:p>
        </w:tc>
        <w:tc>
          <w:tcPr>
            <w:tcW w:w="3118" w:type="dxa"/>
            <w:tcBorders>
              <w:top w:val="nil"/>
              <w:left w:val="nil"/>
              <w:bottom w:val="single" w:sz="4" w:space="0" w:color="000000"/>
              <w:right w:val="single" w:sz="4" w:space="0" w:color="000000"/>
            </w:tcBorders>
            <w:shd w:val="clear" w:color="auto" w:fill="auto"/>
            <w:vAlign w:val="center"/>
            <w:hideMark/>
          </w:tcPr>
          <w:p w14:paraId="6054FE9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telefona, interneta, pošte i prijevoza</w:t>
            </w:r>
          </w:p>
        </w:tc>
        <w:tc>
          <w:tcPr>
            <w:tcW w:w="1296" w:type="dxa"/>
            <w:tcBorders>
              <w:top w:val="nil"/>
              <w:left w:val="nil"/>
              <w:bottom w:val="single" w:sz="4" w:space="0" w:color="000000"/>
              <w:right w:val="single" w:sz="4" w:space="0" w:color="000000"/>
            </w:tcBorders>
            <w:shd w:val="clear" w:color="auto" w:fill="auto"/>
            <w:vAlign w:val="center"/>
            <w:hideMark/>
          </w:tcPr>
          <w:p w14:paraId="37B72E83" w14:textId="45D3D661"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09801AA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128B41F3" w14:textId="6AD424F9"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36DD37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F794916"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BA02B5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3233</w:t>
            </w:r>
          </w:p>
        </w:tc>
        <w:tc>
          <w:tcPr>
            <w:tcW w:w="3118" w:type="dxa"/>
            <w:tcBorders>
              <w:top w:val="nil"/>
              <w:left w:val="nil"/>
              <w:bottom w:val="single" w:sz="4" w:space="0" w:color="000000"/>
              <w:right w:val="single" w:sz="4" w:space="0" w:color="000000"/>
            </w:tcBorders>
            <w:shd w:val="clear" w:color="auto" w:fill="auto"/>
            <w:vAlign w:val="center"/>
            <w:hideMark/>
          </w:tcPr>
          <w:p w14:paraId="5AAB0C48"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Usluge promidžbe i informiranja</w:t>
            </w:r>
          </w:p>
        </w:tc>
        <w:tc>
          <w:tcPr>
            <w:tcW w:w="1296" w:type="dxa"/>
            <w:tcBorders>
              <w:top w:val="nil"/>
              <w:left w:val="nil"/>
              <w:bottom w:val="single" w:sz="4" w:space="0" w:color="000000"/>
              <w:right w:val="single" w:sz="4" w:space="0" w:color="000000"/>
            </w:tcBorders>
            <w:shd w:val="clear" w:color="auto" w:fill="auto"/>
            <w:vAlign w:val="center"/>
            <w:hideMark/>
          </w:tcPr>
          <w:p w14:paraId="6F030D08" w14:textId="679B4736"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6317D4C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10.637,35</w:t>
            </w:r>
          </w:p>
        </w:tc>
        <w:tc>
          <w:tcPr>
            <w:tcW w:w="910" w:type="dxa"/>
            <w:tcBorders>
              <w:top w:val="nil"/>
              <w:left w:val="nil"/>
              <w:bottom w:val="single" w:sz="4" w:space="0" w:color="000000"/>
              <w:right w:val="single" w:sz="4" w:space="0" w:color="000000"/>
            </w:tcBorders>
            <w:shd w:val="clear" w:color="auto" w:fill="auto"/>
            <w:vAlign w:val="center"/>
            <w:hideMark/>
          </w:tcPr>
          <w:p w14:paraId="244BC811" w14:textId="4B07CC0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A46F6DE"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4BD09569" w14:textId="77777777" w:rsidTr="00F120D7">
        <w:trPr>
          <w:trHeight w:val="408"/>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4AF5B1CD"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3234</w:t>
            </w:r>
          </w:p>
        </w:tc>
        <w:tc>
          <w:tcPr>
            <w:tcW w:w="3118" w:type="dxa"/>
            <w:tcBorders>
              <w:top w:val="nil"/>
              <w:left w:val="nil"/>
              <w:bottom w:val="single" w:sz="4" w:space="0" w:color="000000"/>
              <w:right w:val="single" w:sz="4" w:space="0" w:color="000000"/>
            </w:tcBorders>
            <w:shd w:val="clear" w:color="auto" w:fill="auto"/>
            <w:vAlign w:val="center"/>
            <w:hideMark/>
          </w:tcPr>
          <w:p w14:paraId="4EB2D30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Komunalne usluge</w:t>
            </w:r>
          </w:p>
        </w:tc>
        <w:tc>
          <w:tcPr>
            <w:tcW w:w="1296" w:type="dxa"/>
            <w:tcBorders>
              <w:top w:val="nil"/>
              <w:left w:val="nil"/>
              <w:bottom w:val="single" w:sz="4" w:space="0" w:color="000000"/>
              <w:right w:val="single" w:sz="4" w:space="0" w:color="000000"/>
            </w:tcBorders>
            <w:shd w:val="clear" w:color="auto" w:fill="auto"/>
            <w:vAlign w:val="center"/>
            <w:hideMark/>
          </w:tcPr>
          <w:p w14:paraId="3D5666F2" w14:textId="052B8B4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6B81C9E"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502EB6E9" w14:textId="728AEEFE"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B2BD67F"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22C934C2" w14:textId="77777777" w:rsidTr="00F120D7">
        <w:trPr>
          <w:trHeight w:val="415"/>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C00BDB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3235</w:t>
            </w:r>
          </w:p>
        </w:tc>
        <w:tc>
          <w:tcPr>
            <w:tcW w:w="3118" w:type="dxa"/>
            <w:tcBorders>
              <w:top w:val="nil"/>
              <w:left w:val="nil"/>
              <w:bottom w:val="single" w:sz="4" w:space="0" w:color="000000"/>
              <w:right w:val="single" w:sz="4" w:space="0" w:color="000000"/>
            </w:tcBorders>
            <w:shd w:val="clear" w:color="auto" w:fill="auto"/>
            <w:vAlign w:val="center"/>
            <w:hideMark/>
          </w:tcPr>
          <w:p w14:paraId="637B6794"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Zakupnine i najamnine</w:t>
            </w:r>
          </w:p>
        </w:tc>
        <w:tc>
          <w:tcPr>
            <w:tcW w:w="1296" w:type="dxa"/>
            <w:tcBorders>
              <w:top w:val="nil"/>
              <w:left w:val="nil"/>
              <w:bottom w:val="single" w:sz="4" w:space="0" w:color="000000"/>
              <w:right w:val="single" w:sz="4" w:space="0" w:color="000000"/>
            </w:tcBorders>
            <w:shd w:val="clear" w:color="auto" w:fill="auto"/>
            <w:vAlign w:val="center"/>
            <w:hideMark/>
          </w:tcPr>
          <w:p w14:paraId="10417EE5" w14:textId="56FF7C0F"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BADE0C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0,00</w:t>
            </w:r>
          </w:p>
        </w:tc>
        <w:tc>
          <w:tcPr>
            <w:tcW w:w="910" w:type="dxa"/>
            <w:tcBorders>
              <w:top w:val="nil"/>
              <w:left w:val="nil"/>
              <w:bottom w:val="single" w:sz="4" w:space="0" w:color="000000"/>
              <w:right w:val="single" w:sz="4" w:space="0" w:color="000000"/>
            </w:tcBorders>
            <w:shd w:val="clear" w:color="auto" w:fill="auto"/>
            <w:vAlign w:val="center"/>
            <w:hideMark/>
          </w:tcPr>
          <w:p w14:paraId="1894CDA5" w14:textId="224739F8"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1FA1F1E2"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0CFF4CCA" w14:textId="77777777" w:rsidTr="00F120D7">
        <w:trPr>
          <w:trHeight w:val="421"/>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1BF9BF2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3237</w:t>
            </w:r>
          </w:p>
        </w:tc>
        <w:tc>
          <w:tcPr>
            <w:tcW w:w="3118" w:type="dxa"/>
            <w:tcBorders>
              <w:top w:val="nil"/>
              <w:left w:val="nil"/>
              <w:bottom w:val="single" w:sz="4" w:space="0" w:color="000000"/>
              <w:right w:val="single" w:sz="4" w:space="0" w:color="000000"/>
            </w:tcBorders>
            <w:shd w:val="clear" w:color="auto" w:fill="auto"/>
            <w:vAlign w:val="center"/>
            <w:hideMark/>
          </w:tcPr>
          <w:p w14:paraId="572742B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Intelektualne i osobne usluge</w:t>
            </w:r>
          </w:p>
        </w:tc>
        <w:tc>
          <w:tcPr>
            <w:tcW w:w="1296" w:type="dxa"/>
            <w:tcBorders>
              <w:top w:val="nil"/>
              <w:left w:val="nil"/>
              <w:bottom w:val="single" w:sz="4" w:space="0" w:color="000000"/>
              <w:right w:val="single" w:sz="4" w:space="0" w:color="000000"/>
            </w:tcBorders>
            <w:shd w:val="clear" w:color="auto" w:fill="auto"/>
            <w:vAlign w:val="center"/>
            <w:hideMark/>
          </w:tcPr>
          <w:p w14:paraId="18373083" w14:textId="2187B5DD"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184CD6C0"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40.843,38</w:t>
            </w:r>
          </w:p>
        </w:tc>
        <w:tc>
          <w:tcPr>
            <w:tcW w:w="910" w:type="dxa"/>
            <w:tcBorders>
              <w:top w:val="nil"/>
              <w:left w:val="nil"/>
              <w:bottom w:val="single" w:sz="4" w:space="0" w:color="000000"/>
              <w:right w:val="single" w:sz="4" w:space="0" w:color="000000"/>
            </w:tcBorders>
            <w:shd w:val="clear" w:color="auto" w:fill="auto"/>
            <w:vAlign w:val="center"/>
            <w:hideMark/>
          </w:tcPr>
          <w:p w14:paraId="56D75053" w14:textId="6E589FCC"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1D31726C"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7FA02F20" w14:textId="77777777" w:rsidTr="00F120D7">
        <w:trPr>
          <w:trHeight w:val="398"/>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93193A9"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3239</w:t>
            </w:r>
          </w:p>
        </w:tc>
        <w:tc>
          <w:tcPr>
            <w:tcW w:w="3118" w:type="dxa"/>
            <w:tcBorders>
              <w:top w:val="nil"/>
              <w:left w:val="nil"/>
              <w:bottom w:val="single" w:sz="4" w:space="0" w:color="000000"/>
              <w:right w:val="single" w:sz="4" w:space="0" w:color="000000"/>
            </w:tcBorders>
            <w:shd w:val="clear" w:color="auto" w:fill="auto"/>
            <w:vAlign w:val="center"/>
            <w:hideMark/>
          </w:tcPr>
          <w:p w14:paraId="3DFA8FAA"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Ostale usluge</w:t>
            </w:r>
          </w:p>
        </w:tc>
        <w:tc>
          <w:tcPr>
            <w:tcW w:w="1296" w:type="dxa"/>
            <w:tcBorders>
              <w:top w:val="nil"/>
              <w:left w:val="nil"/>
              <w:bottom w:val="single" w:sz="4" w:space="0" w:color="000000"/>
              <w:right w:val="single" w:sz="4" w:space="0" w:color="000000"/>
            </w:tcBorders>
            <w:shd w:val="clear" w:color="auto" w:fill="auto"/>
            <w:vAlign w:val="center"/>
            <w:hideMark/>
          </w:tcPr>
          <w:p w14:paraId="50663B5B" w14:textId="58F73E0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7D0000A6"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900,00</w:t>
            </w:r>
          </w:p>
        </w:tc>
        <w:tc>
          <w:tcPr>
            <w:tcW w:w="910" w:type="dxa"/>
            <w:tcBorders>
              <w:top w:val="nil"/>
              <w:left w:val="nil"/>
              <w:bottom w:val="single" w:sz="4" w:space="0" w:color="000000"/>
              <w:right w:val="single" w:sz="4" w:space="0" w:color="000000"/>
            </w:tcBorders>
            <w:shd w:val="clear" w:color="auto" w:fill="auto"/>
            <w:vAlign w:val="center"/>
            <w:hideMark/>
          </w:tcPr>
          <w:p w14:paraId="0425E468" w14:textId="2012B7F5"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3CB8264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5468D594" w14:textId="77777777" w:rsidTr="00F52211">
        <w:trPr>
          <w:trHeight w:val="630"/>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3F3CE29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lastRenderedPageBreak/>
              <w:t>3241</w:t>
            </w:r>
          </w:p>
        </w:tc>
        <w:tc>
          <w:tcPr>
            <w:tcW w:w="3118" w:type="dxa"/>
            <w:tcBorders>
              <w:top w:val="nil"/>
              <w:left w:val="nil"/>
              <w:bottom w:val="single" w:sz="4" w:space="0" w:color="000000"/>
              <w:right w:val="single" w:sz="4" w:space="0" w:color="000000"/>
            </w:tcBorders>
            <w:shd w:val="clear" w:color="auto" w:fill="auto"/>
            <w:vAlign w:val="center"/>
            <w:hideMark/>
          </w:tcPr>
          <w:p w14:paraId="1DCCF64C"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Naknade troškova osobama izvan radnog odnosa</w:t>
            </w:r>
          </w:p>
        </w:tc>
        <w:tc>
          <w:tcPr>
            <w:tcW w:w="1296" w:type="dxa"/>
            <w:tcBorders>
              <w:top w:val="nil"/>
              <w:left w:val="nil"/>
              <w:bottom w:val="single" w:sz="4" w:space="0" w:color="000000"/>
              <w:right w:val="single" w:sz="4" w:space="0" w:color="000000"/>
            </w:tcBorders>
            <w:shd w:val="clear" w:color="auto" w:fill="auto"/>
            <w:vAlign w:val="center"/>
            <w:hideMark/>
          </w:tcPr>
          <w:p w14:paraId="5B1193BB" w14:textId="0927F4B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4C5D49C5"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2.416,02</w:t>
            </w:r>
          </w:p>
        </w:tc>
        <w:tc>
          <w:tcPr>
            <w:tcW w:w="910" w:type="dxa"/>
            <w:tcBorders>
              <w:top w:val="nil"/>
              <w:left w:val="nil"/>
              <w:bottom w:val="single" w:sz="4" w:space="0" w:color="000000"/>
              <w:right w:val="single" w:sz="4" w:space="0" w:color="000000"/>
            </w:tcBorders>
            <w:shd w:val="clear" w:color="auto" w:fill="auto"/>
            <w:vAlign w:val="center"/>
            <w:hideMark/>
          </w:tcPr>
          <w:p w14:paraId="31E3E66E" w14:textId="5CE2F71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0F0BD7F7"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r w:rsidR="00C463E9" w:rsidRPr="005C0B7C" w14:paraId="68A92C4A" w14:textId="77777777" w:rsidTr="00F120D7">
        <w:trPr>
          <w:trHeight w:val="342"/>
        </w:trPr>
        <w:tc>
          <w:tcPr>
            <w:tcW w:w="1560" w:type="dxa"/>
            <w:gridSpan w:val="2"/>
            <w:tcBorders>
              <w:top w:val="nil"/>
              <w:left w:val="single" w:sz="4" w:space="0" w:color="000000"/>
              <w:bottom w:val="single" w:sz="4" w:space="0" w:color="000000"/>
              <w:right w:val="single" w:sz="4" w:space="0" w:color="000000"/>
            </w:tcBorders>
            <w:shd w:val="clear" w:color="auto" w:fill="auto"/>
            <w:vAlign w:val="center"/>
            <w:hideMark/>
          </w:tcPr>
          <w:p w14:paraId="54D6671B"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3293</w:t>
            </w:r>
          </w:p>
        </w:tc>
        <w:tc>
          <w:tcPr>
            <w:tcW w:w="3118" w:type="dxa"/>
            <w:tcBorders>
              <w:top w:val="nil"/>
              <w:left w:val="nil"/>
              <w:bottom w:val="single" w:sz="4" w:space="0" w:color="000000"/>
              <w:right w:val="single" w:sz="4" w:space="0" w:color="000000"/>
            </w:tcBorders>
            <w:shd w:val="clear" w:color="auto" w:fill="auto"/>
            <w:vAlign w:val="center"/>
            <w:hideMark/>
          </w:tcPr>
          <w:p w14:paraId="403E5691"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Reprezentacija</w:t>
            </w:r>
          </w:p>
        </w:tc>
        <w:tc>
          <w:tcPr>
            <w:tcW w:w="1296" w:type="dxa"/>
            <w:tcBorders>
              <w:top w:val="nil"/>
              <w:left w:val="nil"/>
              <w:bottom w:val="single" w:sz="4" w:space="0" w:color="000000"/>
              <w:right w:val="single" w:sz="4" w:space="0" w:color="000000"/>
            </w:tcBorders>
            <w:shd w:val="clear" w:color="auto" w:fill="auto"/>
            <w:vAlign w:val="center"/>
            <w:hideMark/>
          </w:tcPr>
          <w:p w14:paraId="328BD7C3" w14:textId="0A2E8142"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2410" w:type="dxa"/>
            <w:tcBorders>
              <w:top w:val="nil"/>
              <w:left w:val="nil"/>
              <w:bottom w:val="single" w:sz="4" w:space="0" w:color="000000"/>
              <w:right w:val="single" w:sz="4" w:space="0" w:color="000000"/>
            </w:tcBorders>
            <w:shd w:val="clear" w:color="auto" w:fill="auto"/>
            <w:vAlign w:val="center"/>
            <w:hideMark/>
          </w:tcPr>
          <w:p w14:paraId="39E11A93" w14:textId="77777777"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1.266,35</w:t>
            </w:r>
          </w:p>
        </w:tc>
        <w:tc>
          <w:tcPr>
            <w:tcW w:w="910" w:type="dxa"/>
            <w:tcBorders>
              <w:top w:val="nil"/>
              <w:left w:val="nil"/>
              <w:bottom w:val="single" w:sz="4" w:space="0" w:color="000000"/>
              <w:right w:val="single" w:sz="4" w:space="0" w:color="000000"/>
            </w:tcBorders>
            <w:shd w:val="clear" w:color="auto" w:fill="auto"/>
            <w:vAlign w:val="center"/>
            <w:hideMark/>
          </w:tcPr>
          <w:p w14:paraId="0BC53EDD" w14:textId="3521682A" w:rsidR="00165B1F" w:rsidRPr="00F120D7" w:rsidRDefault="00165B1F" w:rsidP="005C0B7C">
            <w:pPr>
              <w:spacing w:after="0" w:line="240" w:lineRule="auto"/>
              <w:jc w:val="center"/>
              <w:rPr>
                <w:rFonts w:ascii="Times New Roman" w:eastAsia="Times New Roman" w:hAnsi="Times New Roman" w:cs="Times New Roman"/>
                <w:color w:val="000000"/>
                <w:lang w:eastAsia="hr-HR"/>
              </w:rPr>
            </w:pPr>
          </w:p>
        </w:tc>
        <w:tc>
          <w:tcPr>
            <w:tcW w:w="1130" w:type="dxa"/>
            <w:tcBorders>
              <w:top w:val="nil"/>
              <w:left w:val="nil"/>
              <w:bottom w:val="nil"/>
              <w:right w:val="nil"/>
            </w:tcBorders>
            <w:shd w:val="clear" w:color="auto" w:fill="auto"/>
            <w:noWrap/>
            <w:vAlign w:val="bottom"/>
            <w:hideMark/>
          </w:tcPr>
          <w:p w14:paraId="29096660" w14:textId="77777777" w:rsidR="00165B1F" w:rsidRPr="005C0B7C" w:rsidRDefault="00165B1F" w:rsidP="005C0B7C">
            <w:pPr>
              <w:spacing w:after="0" w:line="240" w:lineRule="auto"/>
              <w:jc w:val="center"/>
              <w:rPr>
                <w:rFonts w:ascii="Times New Roman" w:eastAsia="Times New Roman" w:hAnsi="Times New Roman" w:cs="Times New Roman"/>
                <w:color w:val="000000"/>
                <w:sz w:val="24"/>
                <w:szCs w:val="24"/>
                <w:lang w:eastAsia="hr-HR"/>
              </w:rPr>
            </w:pPr>
          </w:p>
        </w:tc>
      </w:tr>
    </w:tbl>
    <w:p w14:paraId="097E6951" w14:textId="77777777" w:rsidR="00165B1F" w:rsidRPr="005C0B7C" w:rsidRDefault="00165B1F" w:rsidP="005C0B7C">
      <w:pPr>
        <w:spacing w:after="0" w:line="240" w:lineRule="auto"/>
        <w:rPr>
          <w:rFonts w:ascii="Times New Roman" w:hAnsi="Times New Roman" w:cs="Times New Roman"/>
          <w:sz w:val="24"/>
          <w:szCs w:val="24"/>
        </w:rPr>
      </w:pPr>
    </w:p>
    <w:p w14:paraId="2FD88706" w14:textId="77777777" w:rsidR="007A0463" w:rsidRDefault="007A0463" w:rsidP="00C25598">
      <w:pPr>
        <w:spacing w:after="0" w:line="240" w:lineRule="auto"/>
        <w:jc w:val="center"/>
        <w:rPr>
          <w:rFonts w:ascii="Times New Roman" w:hAnsi="Times New Roman" w:cs="Times New Roman"/>
          <w:sz w:val="24"/>
          <w:szCs w:val="24"/>
        </w:rPr>
      </w:pPr>
    </w:p>
    <w:p w14:paraId="0E58ABCB" w14:textId="4DBEE809" w:rsidR="00C25598" w:rsidRPr="00E721E2" w:rsidRDefault="00C25598" w:rsidP="00C25598">
      <w:pPr>
        <w:spacing w:after="0" w:line="240" w:lineRule="auto"/>
        <w:jc w:val="center"/>
        <w:rPr>
          <w:rFonts w:ascii="Times New Roman" w:hAnsi="Times New Roman" w:cs="Times New Roman"/>
          <w:sz w:val="24"/>
          <w:szCs w:val="24"/>
        </w:rPr>
      </w:pPr>
      <w:r w:rsidRPr="00E721E2">
        <w:rPr>
          <w:rFonts w:ascii="Times New Roman" w:hAnsi="Times New Roman" w:cs="Times New Roman"/>
          <w:sz w:val="24"/>
          <w:szCs w:val="24"/>
        </w:rPr>
        <w:t>Članak 3.</w:t>
      </w:r>
    </w:p>
    <w:p w14:paraId="6D2F1286" w14:textId="77777777" w:rsidR="00165B1F" w:rsidRDefault="00165B1F" w:rsidP="00107B9F">
      <w:pPr>
        <w:spacing w:after="0" w:line="240" w:lineRule="auto"/>
        <w:rPr>
          <w:rFonts w:ascii="Times New Roman" w:hAnsi="Times New Roman" w:cs="Times New Roman"/>
          <w:sz w:val="24"/>
          <w:szCs w:val="24"/>
        </w:rPr>
      </w:pPr>
    </w:p>
    <w:p w14:paraId="69532BA7" w14:textId="6DE88222" w:rsidR="00803102" w:rsidRPr="00C25598" w:rsidRDefault="00C25598" w:rsidP="00C25598">
      <w:pPr>
        <w:pStyle w:val="ListParagraph"/>
        <w:spacing w:line="240" w:lineRule="auto"/>
        <w:ind w:left="0"/>
        <w:jc w:val="center"/>
        <w:rPr>
          <w:rFonts w:ascii="Times New Roman" w:hAnsi="Times New Roman" w:cs="Times New Roman"/>
          <w:b/>
          <w:bCs/>
          <w:sz w:val="24"/>
          <w:szCs w:val="24"/>
        </w:rPr>
      </w:pPr>
      <w:r w:rsidRPr="00C25598">
        <w:rPr>
          <w:rFonts w:ascii="Times New Roman" w:hAnsi="Times New Roman" w:cs="Times New Roman"/>
          <w:b/>
          <w:bCs/>
          <w:sz w:val="24"/>
          <w:szCs w:val="24"/>
        </w:rPr>
        <w:t xml:space="preserve">3. </w:t>
      </w:r>
      <w:r w:rsidR="00803102" w:rsidRPr="00C25598">
        <w:rPr>
          <w:rFonts w:ascii="Times New Roman" w:hAnsi="Times New Roman" w:cs="Times New Roman"/>
          <w:b/>
          <w:bCs/>
          <w:sz w:val="24"/>
          <w:szCs w:val="24"/>
        </w:rPr>
        <w:t xml:space="preserve">OBRAZLOŽENJE </w:t>
      </w:r>
      <w:r w:rsidR="001D0292" w:rsidRPr="00C25598">
        <w:rPr>
          <w:rFonts w:ascii="Times New Roman" w:hAnsi="Times New Roman" w:cs="Times New Roman"/>
          <w:b/>
          <w:bCs/>
          <w:sz w:val="24"/>
          <w:szCs w:val="24"/>
        </w:rPr>
        <w:t xml:space="preserve">  GODIŠNJEG  </w:t>
      </w:r>
      <w:r w:rsidR="005F01DF" w:rsidRPr="00C25598">
        <w:rPr>
          <w:rFonts w:ascii="Times New Roman" w:hAnsi="Times New Roman" w:cs="Times New Roman"/>
          <w:b/>
          <w:bCs/>
          <w:sz w:val="24"/>
          <w:szCs w:val="24"/>
        </w:rPr>
        <w:t xml:space="preserve"> </w:t>
      </w:r>
      <w:r w:rsidR="00803102" w:rsidRPr="00C25598">
        <w:rPr>
          <w:rFonts w:ascii="Times New Roman" w:hAnsi="Times New Roman" w:cs="Times New Roman"/>
          <w:b/>
          <w:bCs/>
          <w:sz w:val="24"/>
          <w:szCs w:val="24"/>
        </w:rPr>
        <w:t>IZVJEŠTAJA</w:t>
      </w:r>
      <w:r w:rsidR="001D0292" w:rsidRPr="00C25598">
        <w:rPr>
          <w:rFonts w:ascii="Times New Roman" w:hAnsi="Times New Roman" w:cs="Times New Roman"/>
          <w:b/>
          <w:bCs/>
          <w:sz w:val="24"/>
          <w:szCs w:val="24"/>
        </w:rPr>
        <w:t xml:space="preserve"> </w:t>
      </w:r>
      <w:r w:rsidR="00803102" w:rsidRPr="00C25598">
        <w:rPr>
          <w:rFonts w:ascii="Times New Roman" w:hAnsi="Times New Roman" w:cs="Times New Roman"/>
          <w:b/>
          <w:bCs/>
          <w:sz w:val="24"/>
          <w:szCs w:val="24"/>
        </w:rPr>
        <w:t xml:space="preserve"> O </w:t>
      </w:r>
      <w:r w:rsidR="001D0292" w:rsidRPr="00C25598">
        <w:rPr>
          <w:rFonts w:ascii="Times New Roman" w:hAnsi="Times New Roman" w:cs="Times New Roman"/>
          <w:b/>
          <w:bCs/>
          <w:sz w:val="24"/>
          <w:szCs w:val="24"/>
        </w:rPr>
        <w:t xml:space="preserve"> </w:t>
      </w:r>
      <w:r w:rsidR="00803102" w:rsidRPr="00C25598">
        <w:rPr>
          <w:rFonts w:ascii="Times New Roman" w:hAnsi="Times New Roman" w:cs="Times New Roman"/>
          <w:b/>
          <w:bCs/>
          <w:sz w:val="24"/>
          <w:szCs w:val="24"/>
        </w:rPr>
        <w:t>IZVRŠENJU</w:t>
      </w:r>
      <w:r w:rsidR="00A400D1" w:rsidRPr="00C25598">
        <w:rPr>
          <w:rFonts w:ascii="Times New Roman" w:hAnsi="Times New Roman" w:cs="Times New Roman"/>
          <w:b/>
          <w:bCs/>
          <w:sz w:val="24"/>
          <w:szCs w:val="24"/>
        </w:rPr>
        <w:t xml:space="preserve"> </w:t>
      </w:r>
      <w:r w:rsidR="005F01DF" w:rsidRPr="00C25598">
        <w:rPr>
          <w:rFonts w:ascii="Times New Roman" w:hAnsi="Times New Roman" w:cs="Times New Roman"/>
          <w:b/>
          <w:bCs/>
          <w:sz w:val="24"/>
          <w:szCs w:val="24"/>
        </w:rPr>
        <w:br/>
      </w:r>
      <w:r w:rsidR="00803102" w:rsidRPr="00C25598">
        <w:rPr>
          <w:rFonts w:ascii="Times New Roman" w:hAnsi="Times New Roman" w:cs="Times New Roman"/>
          <w:b/>
          <w:bCs/>
          <w:sz w:val="24"/>
          <w:szCs w:val="24"/>
        </w:rPr>
        <w:t xml:space="preserve">FINANCIJSKOG </w:t>
      </w:r>
      <w:r w:rsidR="005F01DF" w:rsidRPr="00C25598">
        <w:rPr>
          <w:rFonts w:ascii="Times New Roman" w:hAnsi="Times New Roman" w:cs="Times New Roman"/>
          <w:b/>
          <w:bCs/>
          <w:sz w:val="24"/>
          <w:szCs w:val="24"/>
        </w:rPr>
        <w:t>P</w:t>
      </w:r>
      <w:r w:rsidR="00803102" w:rsidRPr="00C25598">
        <w:rPr>
          <w:rFonts w:ascii="Times New Roman" w:hAnsi="Times New Roman" w:cs="Times New Roman"/>
          <w:b/>
          <w:bCs/>
          <w:sz w:val="24"/>
          <w:szCs w:val="24"/>
        </w:rPr>
        <w:t>LANA PORE REGIONALNE RAZVOJNE</w:t>
      </w:r>
      <w:r w:rsidR="00A400D1" w:rsidRPr="00C25598">
        <w:rPr>
          <w:rFonts w:ascii="Times New Roman" w:hAnsi="Times New Roman" w:cs="Times New Roman"/>
          <w:b/>
          <w:bCs/>
          <w:sz w:val="24"/>
          <w:szCs w:val="24"/>
        </w:rPr>
        <w:t xml:space="preserve"> </w:t>
      </w:r>
      <w:r w:rsidR="005F01DF" w:rsidRPr="00C25598">
        <w:rPr>
          <w:rFonts w:ascii="Times New Roman" w:hAnsi="Times New Roman" w:cs="Times New Roman"/>
          <w:b/>
          <w:bCs/>
          <w:sz w:val="24"/>
          <w:szCs w:val="24"/>
        </w:rPr>
        <w:br/>
      </w:r>
      <w:r w:rsidR="00A400D1" w:rsidRPr="00C25598">
        <w:rPr>
          <w:rFonts w:ascii="Times New Roman" w:hAnsi="Times New Roman" w:cs="Times New Roman"/>
          <w:b/>
          <w:bCs/>
          <w:sz w:val="24"/>
          <w:szCs w:val="24"/>
        </w:rPr>
        <w:t>A</w:t>
      </w:r>
      <w:r w:rsidR="00803102" w:rsidRPr="00C25598">
        <w:rPr>
          <w:rFonts w:ascii="Times New Roman" w:hAnsi="Times New Roman" w:cs="Times New Roman"/>
          <w:b/>
          <w:bCs/>
          <w:sz w:val="24"/>
          <w:szCs w:val="24"/>
        </w:rPr>
        <w:t>GENCIJE</w:t>
      </w:r>
      <w:r w:rsidR="00A400D1" w:rsidRPr="00C25598">
        <w:rPr>
          <w:rFonts w:ascii="Times New Roman" w:hAnsi="Times New Roman" w:cs="Times New Roman"/>
          <w:b/>
          <w:bCs/>
          <w:sz w:val="24"/>
          <w:szCs w:val="24"/>
        </w:rPr>
        <w:t xml:space="preserve"> </w:t>
      </w:r>
      <w:r w:rsidR="005F01DF" w:rsidRPr="00C25598">
        <w:rPr>
          <w:rFonts w:ascii="Times New Roman" w:hAnsi="Times New Roman" w:cs="Times New Roman"/>
          <w:b/>
          <w:bCs/>
          <w:sz w:val="24"/>
          <w:szCs w:val="24"/>
        </w:rPr>
        <w:t>K</w:t>
      </w:r>
      <w:r w:rsidR="00803102" w:rsidRPr="00C25598">
        <w:rPr>
          <w:rFonts w:ascii="Times New Roman" w:hAnsi="Times New Roman" w:cs="Times New Roman"/>
          <w:b/>
          <w:bCs/>
          <w:sz w:val="24"/>
          <w:szCs w:val="24"/>
        </w:rPr>
        <w:t>OPRIVNIČKO-KRIŽEVAČKE ŽUPANIJE ZA</w:t>
      </w:r>
      <w:r w:rsidR="00A400D1" w:rsidRPr="00C25598">
        <w:rPr>
          <w:rFonts w:ascii="Times New Roman" w:hAnsi="Times New Roman" w:cs="Times New Roman"/>
          <w:b/>
          <w:bCs/>
          <w:sz w:val="24"/>
          <w:szCs w:val="24"/>
        </w:rPr>
        <w:t xml:space="preserve"> </w:t>
      </w:r>
      <w:r w:rsidR="005F01DF" w:rsidRPr="00C25598">
        <w:rPr>
          <w:rFonts w:ascii="Times New Roman" w:hAnsi="Times New Roman" w:cs="Times New Roman"/>
          <w:b/>
          <w:bCs/>
          <w:sz w:val="24"/>
          <w:szCs w:val="24"/>
        </w:rPr>
        <w:br/>
      </w:r>
      <w:r w:rsidRPr="00C25598">
        <w:rPr>
          <w:rFonts w:ascii="Times New Roman" w:hAnsi="Times New Roman" w:cs="Times New Roman"/>
          <w:b/>
          <w:bCs/>
          <w:sz w:val="24"/>
          <w:szCs w:val="24"/>
        </w:rPr>
        <w:t>R</w:t>
      </w:r>
      <w:r w:rsidR="00803102" w:rsidRPr="00C25598">
        <w:rPr>
          <w:rFonts w:ascii="Times New Roman" w:hAnsi="Times New Roman" w:cs="Times New Roman"/>
          <w:b/>
          <w:bCs/>
          <w:sz w:val="24"/>
          <w:szCs w:val="24"/>
        </w:rPr>
        <w:t xml:space="preserve">AZDOBLJE </w:t>
      </w:r>
      <w:r w:rsidR="00C06DE6" w:rsidRPr="00C25598">
        <w:rPr>
          <w:rFonts w:ascii="Times New Roman" w:hAnsi="Times New Roman" w:cs="Times New Roman"/>
          <w:b/>
          <w:bCs/>
          <w:sz w:val="24"/>
          <w:szCs w:val="24"/>
        </w:rPr>
        <w:t xml:space="preserve">OD </w:t>
      </w:r>
      <w:r w:rsidR="00803102" w:rsidRPr="00C25598">
        <w:rPr>
          <w:rFonts w:ascii="Times New Roman" w:hAnsi="Times New Roman" w:cs="Times New Roman"/>
          <w:b/>
          <w:bCs/>
          <w:sz w:val="24"/>
          <w:szCs w:val="24"/>
        </w:rPr>
        <w:t>1.</w:t>
      </w:r>
      <w:r w:rsidR="00C06DE6" w:rsidRPr="00C25598">
        <w:rPr>
          <w:rFonts w:ascii="Times New Roman" w:hAnsi="Times New Roman" w:cs="Times New Roman"/>
          <w:b/>
          <w:bCs/>
          <w:sz w:val="24"/>
          <w:szCs w:val="24"/>
        </w:rPr>
        <w:t xml:space="preserve"> SIJEČNJA DO </w:t>
      </w:r>
      <w:r w:rsidR="00803102" w:rsidRPr="00C25598">
        <w:rPr>
          <w:rFonts w:ascii="Times New Roman" w:hAnsi="Times New Roman" w:cs="Times New Roman"/>
          <w:b/>
          <w:bCs/>
          <w:sz w:val="24"/>
          <w:szCs w:val="24"/>
        </w:rPr>
        <w:t>3</w:t>
      </w:r>
      <w:r w:rsidR="00C463E9" w:rsidRPr="00C25598">
        <w:rPr>
          <w:rFonts w:ascii="Times New Roman" w:hAnsi="Times New Roman" w:cs="Times New Roman"/>
          <w:b/>
          <w:bCs/>
          <w:sz w:val="24"/>
          <w:szCs w:val="24"/>
        </w:rPr>
        <w:t>1</w:t>
      </w:r>
      <w:r w:rsidR="00803102" w:rsidRPr="00C25598">
        <w:rPr>
          <w:rFonts w:ascii="Times New Roman" w:hAnsi="Times New Roman" w:cs="Times New Roman"/>
          <w:b/>
          <w:bCs/>
          <w:sz w:val="24"/>
          <w:szCs w:val="24"/>
        </w:rPr>
        <w:t>.</w:t>
      </w:r>
      <w:r w:rsidR="00C06DE6" w:rsidRPr="00C25598">
        <w:rPr>
          <w:rFonts w:ascii="Times New Roman" w:hAnsi="Times New Roman" w:cs="Times New Roman"/>
          <w:b/>
          <w:bCs/>
          <w:sz w:val="24"/>
          <w:szCs w:val="24"/>
        </w:rPr>
        <w:t xml:space="preserve"> </w:t>
      </w:r>
      <w:r w:rsidR="00C463E9" w:rsidRPr="00C25598">
        <w:rPr>
          <w:rFonts w:ascii="Times New Roman" w:hAnsi="Times New Roman" w:cs="Times New Roman"/>
          <w:b/>
          <w:bCs/>
          <w:sz w:val="24"/>
          <w:szCs w:val="24"/>
        </w:rPr>
        <w:t>PROSINCA</w:t>
      </w:r>
      <w:r w:rsidR="00C06DE6" w:rsidRPr="00C25598">
        <w:rPr>
          <w:rFonts w:ascii="Times New Roman" w:hAnsi="Times New Roman" w:cs="Times New Roman"/>
          <w:b/>
          <w:bCs/>
          <w:sz w:val="24"/>
          <w:szCs w:val="24"/>
        </w:rPr>
        <w:t xml:space="preserve"> </w:t>
      </w:r>
      <w:r w:rsidR="00803102" w:rsidRPr="00C25598">
        <w:rPr>
          <w:rFonts w:ascii="Times New Roman" w:hAnsi="Times New Roman" w:cs="Times New Roman"/>
          <w:b/>
          <w:bCs/>
          <w:sz w:val="24"/>
          <w:szCs w:val="24"/>
        </w:rPr>
        <w:t>202</w:t>
      </w:r>
      <w:r w:rsidR="00F36BCB" w:rsidRPr="00C25598">
        <w:rPr>
          <w:rFonts w:ascii="Times New Roman" w:hAnsi="Times New Roman" w:cs="Times New Roman"/>
          <w:b/>
          <w:bCs/>
          <w:sz w:val="24"/>
          <w:szCs w:val="24"/>
        </w:rPr>
        <w:t>4</w:t>
      </w:r>
      <w:r w:rsidR="00803102" w:rsidRPr="00C25598">
        <w:rPr>
          <w:rFonts w:ascii="Times New Roman" w:hAnsi="Times New Roman" w:cs="Times New Roman"/>
          <w:b/>
          <w:bCs/>
          <w:sz w:val="24"/>
          <w:szCs w:val="24"/>
        </w:rPr>
        <w:t>. GODINE</w:t>
      </w:r>
    </w:p>
    <w:p w14:paraId="36BE95FD" w14:textId="7312701A" w:rsidR="00803102" w:rsidRPr="00E721E2" w:rsidRDefault="00803102" w:rsidP="00803102">
      <w:pPr>
        <w:pStyle w:val="ListParagraph"/>
        <w:spacing w:after="0" w:line="240" w:lineRule="auto"/>
        <w:ind w:left="0"/>
        <w:rPr>
          <w:rFonts w:ascii="Times New Roman" w:hAnsi="Times New Roman" w:cs="Times New Roman"/>
          <w:b/>
          <w:bCs/>
          <w:sz w:val="24"/>
          <w:szCs w:val="24"/>
        </w:rPr>
      </w:pPr>
    </w:p>
    <w:p w14:paraId="491745F8" w14:textId="4FC00630" w:rsidR="00803102" w:rsidRPr="00C25598" w:rsidRDefault="00D17130" w:rsidP="00D17130">
      <w:pPr>
        <w:spacing w:after="0" w:line="240" w:lineRule="auto"/>
        <w:ind w:left="709"/>
        <w:rPr>
          <w:rFonts w:ascii="Times New Roman" w:hAnsi="Times New Roman" w:cs="Times New Roman"/>
          <w:b/>
          <w:bCs/>
          <w:sz w:val="24"/>
          <w:szCs w:val="24"/>
        </w:rPr>
      </w:pPr>
      <w:r w:rsidRPr="00C25598">
        <w:rPr>
          <w:rFonts w:ascii="Times New Roman" w:hAnsi="Times New Roman" w:cs="Times New Roman"/>
          <w:b/>
          <w:bCs/>
          <w:sz w:val="24"/>
          <w:szCs w:val="24"/>
        </w:rPr>
        <w:t xml:space="preserve">3.1. </w:t>
      </w:r>
      <w:r w:rsidR="00803102" w:rsidRPr="00C25598">
        <w:rPr>
          <w:rFonts w:ascii="Times New Roman" w:hAnsi="Times New Roman" w:cs="Times New Roman"/>
          <w:b/>
          <w:bCs/>
          <w:sz w:val="24"/>
          <w:szCs w:val="24"/>
        </w:rPr>
        <w:t>OPĆI DIO</w:t>
      </w:r>
    </w:p>
    <w:p w14:paraId="1CE41888" w14:textId="77777777" w:rsidR="00803102" w:rsidRPr="00E721E2" w:rsidRDefault="00803102" w:rsidP="00803102">
      <w:pPr>
        <w:pStyle w:val="ListParagraph"/>
        <w:spacing w:after="0" w:line="240" w:lineRule="auto"/>
        <w:ind w:left="1440"/>
        <w:rPr>
          <w:rFonts w:ascii="Times New Roman" w:hAnsi="Times New Roman" w:cs="Times New Roman"/>
          <w:sz w:val="24"/>
          <w:szCs w:val="24"/>
        </w:rPr>
      </w:pPr>
    </w:p>
    <w:p w14:paraId="758DE049" w14:textId="6993BEA0" w:rsidR="00803102" w:rsidRPr="00E721E2" w:rsidRDefault="00803102" w:rsidP="00803102">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Financijski plan PORE Regionalne razvojne agencije Koprivničko-križevačke županije za 202</w:t>
      </w:r>
      <w:r w:rsidR="00C463E9">
        <w:rPr>
          <w:rFonts w:ascii="Times New Roman" w:hAnsi="Times New Roman" w:cs="Times New Roman"/>
          <w:sz w:val="24"/>
          <w:szCs w:val="24"/>
        </w:rPr>
        <w:t>4</w:t>
      </w:r>
      <w:r w:rsidRPr="00E721E2">
        <w:rPr>
          <w:rFonts w:ascii="Times New Roman" w:hAnsi="Times New Roman" w:cs="Times New Roman"/>
          <w:sz w:val="24"/>
          <w:szCs w:val="24"/>
        </w:rPr>
        <w:t>. godinu s projekcijama za 202</w:t>
      </w:r>
      <w:r w:rsidR="00C463E9">
        <w:rPr>
          <w:rFonts w:ascii="Times New Roman" w:hAnsi="Times New Roman" w:cs="Times New Roman"/>
          <w:sz w:val="24"/>
          <w:szCs w:val="24"/>
        </w:rPr>
        <w:t>5</w:t>
      </w:r>
      <w:r w:rsidRPr="00E721E2">
        <w:rPr>
          <w:rFonts w:ascii="Times New Roman" w:hAnsi="Times New Roman" w:cs="Times New Roman"/>
          <w:sz w:val="24"/>
          <w:szCs w:val="24"/>
        </w:rPr>
        <w:t>. i 202</w:t>
      </w:r>
      <w:r w:rsidR="001D0292">
        <w:rPr>
          <w:rFonts w:ascii="Times New Roman" w:hAnsi="Times New Roman" w:cs="Times New Roman"/>
          <w:sz w:val="24"/>
          <w:szCs w:val="24"/>
        </w:rPr>
        <w:t>6</w:t>
      </w:r>
      <w:r w:rsidRPr="00E721E2">
        <w:rPr>
          <w:rFonts w:ascii="Times New Roman" w:hAnsi="Times New Roman" w:cs="Times New Roman"/>
          <w:sz w:val="24"/>
          <w:szCs w:val="24"/>
        </w:rPr>
        <w:t xml:space="preserve">. godinu usvojen je na </w:t>
      </w:r>
      <w:r w:rsidR="00E11FEA" w:rsidRPr="00E721E2">
        <w:rPr>
          <w:rFonts w:ascii="Times New Roman" w:hAnsi="Times New Roman" w:cs="Times New Roman"/>
          <w:sz w:val="24"/>
          <w:szCs w:val="24"/>
        </w:rPr>
        <w:t>32</w:t>
      </w:r>
      <w:r w:rsidR="00855581" w:rsidRPr="00E721E2">
        <w:rPr>
          <w:rFonts w:ascii="Times New Roman" w:hAnsi="Times New Roman" w:cs="Times New Roman"/>
          <w:sz w:val="24"/>
          <w:szCs w:val="24"/>
        </w:rPr>
        <w:t>.</w:t>
      </w:r>
      <w:r w:rsidRPr="00E721E2">
        <w:rPr>
          <w:rFonts w:ascii="Times New Roman" w:hAnsi="Times New Roman" w:cs="Times New Roman"/>
          <w:sz w:val="24"/>
          <w:szCs w:val="24"/>
        </w:rPr>
        <w:t xml:space="preserve"> sjednici Upravnog vijeća PORE Regionalne razvojne agencije Koprivničko-križevačke županije održanoj </w:t>
      </w:r>
      <w:r w:rsidR="00E11FEA" w:rsidRPr="00E721E2">
        <w:rPr>
          <w:rFonts w:ascii="Times New Roman" w:hAnsi="Times New Roman" w:cs="Times New Roman"/>
          <w:sz w:val="24"/>
          <w:szCs w:val="24"/>
        </w:rPr>
        <w:t>16. listopada</w:t>
      </w:r>
      <w:r w:rsidRPr="00E721E2">
        <w:rPr>
          <w:rFonts w:ascii="Times New Roman" w:hAnsi="Times New Roman" w:cs="Times New Roman"/>
          <w:sz w:val="24"/>
          <w:szCs w:val="24"/>
        </w:rPr>
        <w:t xml:space="preserve">  202</w:t>
      </w:r>
      <w:r w:rsidR="00E11FEA" w:rsidRPr="00E721E2">
        <w:rPr>
          <w:rFonts w:ascii="Times New Roman" w:hAnsi="Times New Roman" w:cs="Times New Roman"/>
          <w:sz w:val="24"/>
          <w:szCs w:val="24"/>
        </w:rPr>
        <w:t>3</w:t>
      </w:r>
      <w:r w:rsidRPr="00E721E2">
        <w:rPr>
          <w:rFonts w:ascii="Times New Roman" w:hAnsi="Times New Roman" w:cs="Times New Roman"/>
          <w:sz w:val="24"/>
          <w:szCs w:val="24"/>
        </w:rPr>
        <w:t>. godine.</w:t>
      </w:r>
    </w:p>
    <w:p w14:paraId="2A486614" w14:textId="65F92370" w:rsidR="00803102" w:rsidRPr="00E721E2" w:rsidRDefault="00803102" w:rsidP="00803102">
      <w:pPr>
        <w:pStyle w:val="ListParagraph"/>
        <w:spacing w:after="0" w:line="240" w:lineRule="auto"/>
        <w:ind w:left="0"/>
        <w:jc w:val="both"/>
        <w:rPr>
          <w:rFonts w:ascii="Times New Roman" w:hAnsi="Times New Roman" w:cs="Times New Roman"/>
          <w:sz w:val="24"/>
          <w:szCs w:val="24"/>
        </w:rPr>
      </w:pPr>
      <w:r w:rsidRPr="00E721E2">
        <w:rPr>
          <w:rFonts w:ascii="Times New Roman" w:hAnsi="Times New Roman" w:cs="Times New Roman"/>
          <w:sz w:val="24"/>
          <w:szCs w:val="24"/>
        </w:rPr>
        <w:t>I. Izmjene i dopune Financijskog plana PORE Regionalne razvojne agencije Koprivničko-križevačke županije za 202</w:t>
      </w:r>
      <w:r w:rsidR="00E11FEA" w:rsidRPr="00E721E2">
        <w:rPr>
          <w:rFonts w:ascii="Times New Roman" w:hAnsi="Times New Roman" w:cs="Times New Roman"/>
          <w:sz w:val="24"/>
          <w:szCs w:val="24"/>
        </w:rPr>
        <w:t>4</w:t>
      </w:r>
      <w:r w:rsidRPr="00E721E2">
        <w:rPr>
          <w:rFonts w:ascii="Times New Roman" w:hAnsi="Times New Roman" w:cs="Times New Roman"/>
          <w:sz w:val="24"/>
          <w:szCs w:val="24"/>
        </w:rPr>
        <w:t xml:space="preserve">. godinu usvojene su na </w:t>
      </w:r>
      <w:r w:rsidR="005F74AF" w:rsidRPr="00E721E2">
        <w:rPr>
          <w:rFonts w:ascii="Times New Roman" w:hAnsi="Times New Roman" w:cs="Times New Roman"/>
          <w:sz w:val="24"/>
          <w:szCs w:val="24"/>
        </w:rPr>
        <w:t>41</w:t>
      </w:r>
      <w:r w:rsidRPr="00E721E2">
        <w:rPr>
          <w:rFonts w:ascii="Times New Roman" w:hAnsi="Times New Roman" w:cs="Times New Roman"/>
          <w:sz w:val="24"/>
          <w:szCs w:val="24"/>
        </w:rPr>
        <w:t xml:space="preserve">. sjednici Upravnog vijeća PORE Regionalne razvojne agencije Koprivničko-križevačke županije održanoj </w:t>
      </w:r>
      <w:r w:rsidR="005F74AF" w:rsidRPr="00E721E2">
        <w:rPr>
          <w:rFonts w:ascii="Times New Roman" w:hAnsi="Times New Roman" w:cs="Times New Roman"/>
          <w:sz w:val="24"/>
          <w:szCs w:val="24"/>
        </w:rPr>
        <w:t>12</w:t>
      </w:r>
      <w:r w:rsidRPr="00E721E2">
        <w:rPr>
          <w:rFonts w:ascii="Times New Roman" w:hAnsi="Times New Roman" w:cs="Times New Roman"/>
          <w:sz w:val="24"/>
          <w:szCs w:val="24"/>
        </w:rPr>
        <w:t xml:space="preserve">. </w:t>
      </w:r>
      <w:r w:rsidR="005F74AF" w:rsidRPr="00E721E2">
        <w:rPr>
          <w:rFonts w:ascii="Times New Roman" w:hAnsi="Times New Roman" w:cs="Times New Roman"/>
          <w:sz w:val="24"/>
          <w:szCs w:val="24"/>
        </w:rPr>
        <w:t>lipnja</w:t>
      </w:r>
      <w:r w:rsidRPr="00E721E2">
        <w:rPr>
          <w:rFonts w:ascii="Times New Roman" w:hAnsi="Times New Roman" w:cs="Times New Roman"/>
          <w:sz w:val="24"/>
          <w:szCs w:val="24"/>
        </w:rPr>
        <w:t xml:space="preserve"> 202</w:t>
      </w:r>
      <w:r w:rsidR="005F74AF" w:rsidRPr="00E721E2">
        <w:rPr>
          <w:rFonts w:ascii="Times New Roman" w:hAnsi="Times New Roman" w:cs="Times New Roman"/>
          <w:sz w:val="24"/>
          <w:szCs w:val="24"/>
        </w:rPr>
        <w:t>4</w:t>
      </w:r>
      <w:r w:rsidRPr="00E721E2">
        <w:rPr>
          <w:rFonts w:ascii="Times New Roman" w:hAnsi="Times New Roman" w:cs="Times New Roman"/>
          <w:sz w:val="24"/>
          <w:szCs w:val="24"/>
        </w:rPr>
        <w:t>. godine.</w:t>
      </w:r>
    </w:p>
    <w:p w14:paraId="732CE9B0" w14:textId="4018CAD4" w:rsidR="00803102" w:rsidRDefault="00803102" w:rsidP="00803102">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 xml:space="preserve">Sadržaj </w:t>
      </w:r>
      <w:r w:rsidR="00C463E9">
        <w:rPr>
          <w:rFonts w:ascii="Times New Roman" w:hAnsi="Times New Roman" w:cs="Times New Roman"/>
          <w:sz w:val="24"/>
          <w:szCs w:val="24"/>
        </w:rPr>
        <w:t>Godišnjeg</w:t>
      </w:r>
      <w:r w:rsidRPr="00E721E2">
        <w:rPr>
          <w:rFonts w:ascii="Times New Roman" w:hAnsi="Times New Roman" w:cs="Times New Roman"/>
          <w:sz w:val="24"/>
          <w:szCs w:val="24"/>
        </w:rPr>
        <w:t xml:space="preserve"> izvještaja o izvršenju </w:t>
      </w:r>
      <w:r w:rsidR="005F74AF" w:rsidRPr="00E721E2">
        <w:rPr>
          <w:rFonts w:ascii="Times New Roman" w:hAnsi="Times New Roman" w:cs="Times New Roman"/>
          <w:sz w:val="24"/>
          <w:szCs w:val="24"/>
        </w:rPr>
        <w:t>f</w:t>
      </w:r>
      <w:r w:rsidRPr="00E721E2">
        <w:rPr>
          <w:rFonts w:ascii="Times New Roman" w:hAnsi="Times New Roman" w:cs="Times New Roman"/>
          <w:sz w:val="24"/>
          <w:szCs w:val="24"/>
        </w:rPr>
        <w:t xml:space="preserve">inancijskog plana propisan je Pravilnikom o polugodišnjem i godišnjem izvještaju o izvršenju proračuna  („Narodne novine“ broj </w:t>
      </w:r>
      <w:r w:rsidR="00695678" w:rsidRPr="00E721E2">
        <w:rPr>
          <w:rFonts w:ascii="Times New Roman" w:hAnsi="Times New Roman" w:cs="Times New Roman"/>
          <w:sz w:val="24"/>
          <w:szCs w:val="24"/>
        </w:rPr>
        <w:t>85</w:t>
      </w:r>
      <w:r w:rsidRPr="00E721E2">
        <w:rPr>
          <w:rFonts w:ascii="Times New Roman" w:hAnsi="Times New Roman" w:cs="Times New Roman"/>
          <w:sz w:val="24"/>
          <w:szCs w:val="24"/>
        </w:rPr>
        <w:t>/</w:t>
      </w:r>
      <w:r w:rsidR="00695678" w:rsidRPr="00E721E2">
        <w:rPr>
          <w:rFonts w:ascii="Times New Roman" w:hAnsi="Times New Roman" w:cs="Times New Roman"/>
          <w:sz w:val="24"/>
          <w:szCs w:val="24"/>
        </w:rPr>
        <w:t>2</w:t>
      </w:r>
      <w:r w:rsidRPr="00E721E2">
        <w:rPr>
          <w:rFonts w:ascii="Times New Roman" w:hAnsi="Times New Roman" w:cs="Times New Roman"/>
          <w:sz w:val="24"/>
          <w:szCs w:val="24"/>
        </w:rPr>
        <w:t>3.</w:t>
      </w:r>
      <w:r w:rsidR="00535679" w:rsidRPr="00E721E2">
        <w:rPr>
          <w:rFonts w:ascii="Times New Roman" w:hAnsi="Times New Roman" w:cs="Times New Roman"/>
          <w:sz w:val="24"/>
          <w:szCs w:val="24"/>
        </w:rPr>
        <w:t>)</w:t>
      </w:r>
      <w:r w:rsidRPr="00E721E2">
        <w:rPr>
          <w:rFonts w:ascii="Times New Roman" w:hAnsi="Times New Roman" w:cs="Times New Roman"/>
          <w:sz w:val="24"/>
          <w:szCs w:val="24"/>
        </w:rPr>
        <w:t xml:space="preserve"> i Zakonom o proračunu („Narodne novine“ broj 144/21.). </w:t>
      </w:r>
      <w:r w:rsidR="00C463E9">
        <w:rPr>
          <w:rFonts w:ascii="Times New Roman" w:hAnsi="Times New Roman" w:cs="Times New Roman"/>
          <w:sz w:val="24"/>
          <w:szCs w:val="24"/>
        </w:rPr>
        <w:t>Godišnji</w:t>
      </w:r>
      <w:r w:rsidRPr="00E721E2">
        <w:rPr>
          <w:rFonts w:ascii="Times New Roman" w:hAnsi="Times New Roman" w:cs="Times New Roman"/>
          <w:sz w:val="24"/>
          <w:szCs w:val="24"/>
        </w:rPr>
        <w:t xml:space="preserve"> izvještaj o izvršenju </w:t>
      </w:r>
      <w:r w:rsidR="005F74AF" w:rsidRPr="00E721E2">
        <w:rPr>
          <w:rFonts w:ascii="Times New Roman" w:hAnsi="Times New Roman" w:cs="Times New Roman"/>
          <w:sz w:val="24"/>
          <w:szCs w:val="24"/>
        </w:rPr>
        <w:t>f</w:t>
      </w:r>
      <w:r w:rsidRPr="00E721E2">
        <w:rPr>
          <w:rFonts w:ascii="Times New Roman" w:hAnsi="Times New Roman" w:cs="Times New Roman"/>
          <w:sz w:val="24"/>
          <w:szCs w:val="24"/>
        </w:rPr>
        <w:t>inancijskog plana PORE Regionalne razvojne agencije Koprivničko-križevačke županije za 202</w:t>
      </w:r>
      <w:r w:rsidR="005F74AF" w:rsidRPr="00E721E2">
        <w:rPr>
          <w:rFonts w:ascii="Times New Roman" w:hAnsi="Times New Roman" w:cs="Times New Roman"/>
          <w:sz w:val="24"/>
          <w:szCs w:val="24"/>
        </w:rPr>
        <w:t>4</w:t>
      </w:r>
      <w:r w:rsidRPr="00E721E2">
        <w:rPr>
          <w:rFonts w:ascii="Times New Roman" w:hAnsi="Times New Roman" w:cs="Times New Roman"/>
          <w:sz w:val="24"/>
          <w:szCs w:val="24"/>
        </w:rPr>
        <w:t xml:space="preserve">. godinu daje prikaz ukupno ostvarenih prihoda i primitaka te rashoda i izdataka na razini ekonomske klasifikacije u Općem dijelu te njihovu raspodjelu po organizacijskoj i programskoj klasifikaciji u Posebnom dijelu proračuna. </w:t>
      </w:r>
    </w:p>
    <w:p w14:paraId="0EE1513E" w14:textId="77777777" w:rsidR="001F32DC" w:rsidRPr="00E721E2" w:rsidRDefault="001F32DC" w:rsidP="00803102">
      <w:pPr>
        <w:spacing w:after="0" w:line="240" w:lineRule="auto"/>
        <w:jc w:val="both"/>
        <w:rPr>
          <w:rFonts w:ascii="Times New Roman" w:hAnsi="Times New Roman" w:cs="Times New Roman"/>
          <w:sz w:val="24"/>
          <w:szCs w:val="24"/>
        </w:rPr>
      </w:pPr>
    </w:p>
    <w:p w14:paraId="3ABA8C5A" w14:textId="20E17DC1" w:rsidR="00803102" w:rsidRDefault="00803102" w:rsidP="00803102">
      <w:pPr>
        <w:spacing w:line="240" w:lineRule="auto"/>
        <w:jc w:val="both"/>
        <w:rPr>
          <w:rFonts w:ascii="Times New Roman" w:hAnsi="Times New Roman" w:cs="Times New Roman"/>
          <w:sz w:val="24"/>
          <w:szCs w:val="24"/>
        </w:rPr>
      </w:pPr>
      <w:r w:rsidRPr="00E721E2">
        <w:rPr>
          <w:rFonts w:ascii="Times New Roman" w:hAnsi="Times New Roman" w:cs="Times New Roman"/>
          <w:sz w:val="24"/>
          <w:szCs w:val="24"/>
        </w:rPr>
        <w:t>Prihodi te rashodi s izvršenjem za</w:t>
      </w:r>
      <w:r w:rsidR="00214485" w:rsidRPr="00E721E2">
        <w:rPr>
          <w:rFonts w:ascii="Times New Roman" w:hAnsi="Times New Roman" w:cs="Times New Roman"/>
          <w:sz w:val="24"/>
          <w:szCs w:val="24"/>
        </w:rPr>
        <w:t xml:space="preserve"> </w:t>
      </w:r>
      <w:r w:rsidRPr="00E721E2">
        <w:rPr>
          <w:rFonts w:ascii="Times New Roman" w:hAnsi="Times New Roman" w:cs="Times New Roman"/>
          <w:sz w:val="24"/>
          <w:szCs w:val="24"/>
        </w:rPr>
        <w:t>202</w:t>
      </w:r>
      <w:r w:rsidR="005F74AF" w:rsidRPr="00E721E2">
        <w:rPr>
          <w:rFonts w:ascii="Times New Roman" w:hAnsi="Times New Roman" w:cs="Times New Roman"/>
          <w:sz w:val="24"/>
          <w:szCs w:val="24"/>
        </w:rPr>
        <w:t>3</w:t>
      </w:r>
      <w:r w:rsidRPr="00E721E2">
        <w:rPr>
          <w:rFonts w:ascii="Times New Roman" w:hAnsi="Times New Roman" w:cs="Times New Roman"/>
          <w:sz w:val="24"/>
          <w:szCs w:val="24"/>
        </w:rPr>
        <w:t>. i 202</w:t>
      </w:r>
      <w:r w:rsidR="005F74AF" w:rsidRPr="00E721E2">
        <w:rPr>
          <w:rFonts w:ascii="Times New Roman" w:hAnsi="Times New Roman" w:cs="Times New Roman"/>
          <w:sz w:val="24"/>
          <w:szCs w:val="24"/>
        </w:rPr>
        <w:t>4</w:t>
      </w:r>
      <w:r w:rsidRPr="00E721E2">
        <w:rPr>
          <w:rFonts w:ascii="Times New Roman" w:hAnsi="Times New Roman" w:cs="Times New Roman"/>
          <w:sz w:val="24"/>
          <w:szCs w:val="24"/>
        </w:rPr>
        <w:t xml:space="preserve">. godinu iskazani su u Tablici </w:t>
      </w:r>
      <w:r w:rsidR="00A97E22">
        <w:rPr>
          <w:rFonts w:ascii="Times New Roman" w:hAnsi="Times New Roman" w:cs="Times New Roman"/>
          <w:sz w:val="24"/>
          <w:szCs w:val="24"/>
        </w:rPr>
        <w:t>1</w:t>
      </w:r>
      <w:r w:rsidRPr="00E721E2">
        <w:rPr>
          <w:rFonts w:ascii="Times New Roman" w:hAnsi="Times New Roman" w:cs="Times New Roman"/>
          <w:sz w:val="24"/>
          <w:szCs w:val="24"/>
        </w:rPr>
        <w:t>. i Grafikonu 1.</w:t>
      </w:r>
    </w:p>
    <w:p w14:paraId="3F89E7AA" w14:textId="41F88ABB" w:rsidR="00803102" w:rsidRPr="00E721E2" w:rsidRDefault="00803102" w:rsidP="00803102">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 xml:space="preserve">Tablica </w:t>
      </w:r>
      <w:r w:rsidR="00413EE5">
        <w:rPr>
          <w:rFonts w:ascii="Times New Roman" w:hAnsi="Times New Roman" w:cs="Times New Roman"/>
          <w:sz w:val="24"/>
          <w:szCs w:val="24"/>
        </w:rPr>
        <w:t>1</w:t>
      </w:r>
      <w:r w:rsidRPr="00E721E2">
        <w:rPr>
          <w:rFonts w:ascii="Times New Roman" w:hAnsi="Times New Roman" w:cs="Times New Roman"/>
          <w:sz w:val="24"/>
          <w:szCs w:val="24"/>
        </w:rPr>
        <w:t>. Pregled prihoda i rashoda ostvarenih u 202</w:t>
      </w:r>
      <w:r w:rsidR="005F74AF" w:rsidRPr="00E721E2">
        <w:rPr>
          <w:rFonts w:ascii="Times New Roman" w:hAnsi="Times New Roman" w:cs="Times New Roman"/>
          <w:sz w:val="24"/>
          <w:szCs w:val="24"/>
        </w:rPr>
        <w:t>3</w:t>
      </w:r>
      <w:r w:rsidRPr="00E721E2">
        <w:rPr>
          <w:rFonts w:ascii="Times New Roman" w:hAnsi="Times New Roman" w:cs="Times New Roman"/>
          <w:sz w:val="24"/>
          <w:szCs w:val="24"/>
        </w:rPr>
        <w:t>. i 202</w:t>
      </w:r>
      <w:r w:rsidR="005F74AF" w:rsidRPr="00E721E2">
        <w:rPr>
          <w:rFonts w:ascii="Times New Roman" w:hAnsi="Times New Roman" w:cs="Times New Roman"/>
          <w:sz w:val="24"/>
          <w:szCs w:val="24"/>
        </w:rPr>
        <w:t>4</w:t>
      </w:r>
      <w:r w:rsidRPr="00E721E2">
        <w:rPr>
          <w:rFonts w:ascii="Times New Roman" w:hAnsi="Times New Roman" w:cs="Times New Roman"/>
          <w:sz w:val="24"/>
          <w:szCs w:val="24"/>
        </w:rPr>
        <w:t>. godini</w:t>
      </w:r>
    </w:p>
    <w:tbl>
      <w:tblPr>
        <w:tblStyle w:val="TableGrid"/>
        <w:tblW w:w="0" w:type="auto"/>
        <w:tblInd w:w="988" w:type="dxa"/>
        <w:tblLook w:val="04A0" w:firstRow="1" w:lastRow="0" w:firstColumn="1" w:lastColumn="0" w:noHBand="0" w:noVBand="1"/>
      </w:tblPr>
      <w:tblGrid>
        <w:gridCol w:w="3118"/>
        <w:gridCol w:w="1843"/>
        <w:gridCol w:w="1843"/>
      </w:tblGrid>
      <w:tr w:rsidR="00803102" w:rsidRPr="00E721E2" w14:paraId="24952CB7" w14:textId="77777777" w:rsidTr="0018785A">
        <w:tc>
          <w:tcPr>
            <w:tcW w:w="3118" w:type="dxa"/>
            <w:shd w:val="clear" w:color="auto" w:fill="E7E6E6" w:themeFill="background2"/>
          </w:tcPr>
          <w:p w14:paraId="32225D0D" w14:textId="77777777" w:rsidR="00803102" w:rsidRPr="00E721E2" w:rsidRDefault="00803102" w:rsidP="00C15CC1">
            <w:pPr>
              <w:jc w:val="both"/>
              <w:rPr>
                <w:rFonts w:ascii="Times New Roman" w:hAnsi="Times New Roman" w:cs="Times New Roman"/>
                <w:b/>
                <w:bCs/>
                <w:sz w:val="24"/>
                <w:szCs w:val="24"/>
                <w:lang w:val="hr-HR"/>
              </w:rPr>
            </w:pPr>
          </w:p>
        </w:tc>
        <w:tc>
          <w:tcPr>
            <w:tcW w:w="1843" w:type="dxa"/>
            <w:shd w:val="clear" w:color="auto" w:fill="E7E6E6" w:themeFill="background2"/>
          </w:tcPr>
          <w:p w14:paraId="6B588C1E" w14:textId="5F003008" w:rsidR="00803102" w:rsidRPr="00E721E2" w:rsidRDefault="00803102" w:rsidP="00C15CC1">
            <w:pPr>
              <w:jc w:val="center"/>
              <w:rPr>
                <w:rFonts w:ascii="Times New Roman" w:hAnsi="Times New Roman" w:cs="Times New Roman"/>
                <w:b/>
                <w:bCs/>
                <w:sz w:val="24"/>
                <w:szCs w:val="24"/>
                <w:lang w:val="hr-HR"/>
              </w:rPr>
            </w:pPr>
            <w:r w:rsidRPr="00E721E2">
              <w:rPr>
                <w:rFonts w:ascii="Times New Roman" w:hAnsi="Times New Roman" w:cs="Times New Roman"/>
                <w:b/>
                <w:bCs/>
                <w:sz w:val="24"/>
                <w:szCs w:val="24"/>
                <w:lang w:val="hr-HR"/>
              </w:rPr>
              <w:t>202</w:t>
            </w:r>
            <w:r w:rsidR="005F74AF" w:rsidRPr="00E721E2">
              <w:rPr>
                <w:rFonts w:ascii="Times New Roman" w:hAnsi="Times New Roman" w:cs="Times New Roman"/>
                <w:b/>
                <w:bCs/>
                <w:sz w:val="24"/>
                <w:szCs w:val="24"/>
                <w:lang w:val="hr-HR"/>
              </w:rPr>
              <w:t>3</w:t>
            </w:r>
            <w:r w:rsidRPr="00E721E2">
              <w:rPr>
                <w:rFonts w:ascii="Times New Roman" w:hAnsi="Times New Roman" w:cs="Times New Roman"/>
                <w:b/>
                <w:bCs/>
                <w:sz w:val="24"/>
                <w:szCs w:val="24"/>
                <w:lang w:val="hr-HR"/>
              </w:rPr>
              <w:t>. godina (</w:t>
            </w:r>
            <w:r w:rsidR="00535679" w:rsidRPr="00E721E2">
              <w:rPr>
                <w:rFonts w:ascii="Times New Roman" w:hAnsi="Times New Roman" w:cs="Times New Roman"/>
                <w:b/>
                <w:bCs/>
                <w:sz w:val="24"/>
                <w:szCs w:val="24"/>
                <w:lang w:val="hr-HR"/>
              </w:rPr>
              <w:t>EUR</w:t>
            </w:r>
            <w:r w:rsidRPr="00E721E2">
              <w:rPr>
                <w:rFonts w:ascii="Times New Roman" w:hAnsi="Times New Roman" w:cs="Times New Roman"/>
                <w:b/>
                <w:bCs/>
                <w:sz w:val="24"/>
                <w:szCs w:val="24"/>
                <w:lang w:val="hr-HR"/>
              </w:rPr>
              <w:t>)</w:t>
            </w:r>
          </w:p>
        </w:tc>
        <w:tc>
          <w:tcPr>
            <w:tcW w:w="1843" w:type="dxa"/>
            <w:shd w:val="clear" w:color="auto" w:fill="E7E6E6" w:themeFill="background2"/>
          </w:tcPr>
          <w:p w14:paraId="3F045748" w14:textId="0F5100AF" w:rsidR="00803102" w:rsidRPr="00E721E2" w:rsidRDefault="00803102" w:rsidP="00C15CC1">
            <w:pPr>
              <w:jc w:val="center"/>
              <w:rPr>
                <w:rFonts w:ascii="Times New Roman" w:hAnsi="Times New Roman" w:cs="Times New Roman"/>
                <w:b/>
                <w:bCs/>
                <w:sz w:val="24"/>
                <w:szCs w:val="24"/>
                <w:lang w:val="hr-HR"/>
              </w:rPr>
            </w:pPr>
            <w:r w:rsidRPr="00E721E2">
              <w:rPr>
                <w:rFonts w:ascii="Times New Roman" w:hAnsi="Times New Roman" w:cs="Times New Roman"/>
                <w:b/>
                <w:bCs/>
                <w:sz w:val="24"/>
                <w:szCs w:val="24"/>
                <w:lang w:val="hr-HR"/>
              </w:rPr>
              <w:t>202</w:t>
            </w:r>
            <w:r w:rsidR="005F74AF" w:rsidRPr="00E721E2">
              <w:rPr>
                <w:rFonts w:ascii="Times New Roman" w:hAnsi="Times New Roman" w:cs="Times New Roman"/>
                <w:b/>
                <w:bCs/>
                <w:sz w:val="24"/>
                <w:szCs w:val="24"/>
                <w:lang w:val="hr-HR"/>
              </w:rPr>
              <w:t>4</w:t>
            </w:r>
            <w:r w:rsidRPr="00E721E2">
              <w:rPr>
                <w:rFonts w:ascii="Times New Roman" w:hAnsi="Times New Roman" w:cs="Times New Roman"/>
                <w:b/>
                <w:bCs/>
                <w:sz w:val="24"/>
                <w:szCs w:val="24"/>
                <w:lang w:val="hr-HR"/>
              </w:rPr>
              <w:t>. godina (</w:t>
            </w:r>
            <w:r w:rsidR="00535679" w:rsidRPr="00E721E2">
              <w:rPr>
                <w:rFonts w:ascii="Times New Roman" w:hAnsi="Times New Roman" w:cs="Times New Roman"/>
                <w:b/>
                <w:bCs/>
                <w:sz w:val="24"/>
                <w:szCs w:val="24"/>
                <w:lang w:val="hr-HR"/>
              </w:rPr>
              <w:t>EUR</w:t>
            </w:r>
            <w:r w:rsidRPr="00E721E2">
              <w:rPr>
                <w:rFonts w:ascii="Times New Roman" w:hAnsi="Times New Roman" w:cs="Times New Roman"/>
                <w:b/>
                <w:bCs/>
                <w:sz w:val="24"/>
                <w:szCs w:val="24"/>
                <w:lang w:val="hr-HR"/>
              </w:rPr>
              <w:t>)</w:t>
            </w:r>
          </w:p>
        </w:tc>
      </w:tr>
      <w:tr w:rsidR="00803102" w:rsidRPr="00E721E2" w14:paraId="00980FDA" w14:textId="77777777" w:rsidTr="00C15CC1">
        <w:tc>
          <w:tcPr>
            <w:tcW w:w="3118" w:type="dxa"/>
          </w:tcPr>
          <w:p w14:paraId="09E12DDE" w14:textId="7AD6E878" w:rsidR="00803102" w:rsidRPr="00E721E2" w:rsidRDefault="00803102" w:rsidP="00C15CC1">
            <w:pPr>
              <w:jc w:val="both"/>
              <w:rPr>
                <w:rFonts w:ascii="Times New Roman" w:hAnsi="Times New Roman" w:cs="Times New Roman"/>
                <w:sz w:val="24"/>
                <w:szCs w:val="24"/>
                <w:lang w:val="hr-HR"/>
              </w:rPr>
            </w:pPr>
            <w:r w:rsidRPr="00E721E2">
              <w:rPr>
                <w:rFonts w:ascii="Times New Roman" w:hAnsi="Times New Roman" w:cs="Times New Roman"/>
                <w:sz w:val="24"/>
                <w:szCs w:val="24"/>
                <w:lang w:val="hr-HR"/>
              </w:rPr>
              <w:t>Prihod</w:t>
            </w:r>
            <w:r w:rsidR="001D5521" w:rsidRPr="00E721E2">
              <w:rPr>
                <w:rFonts w:ascii="Times New Roman" w:hAnsi="Times New Roman" w:cs="Times New Roman"/>
                <w:sz w:val="24"/>
                <w:szCs w:val="24"/>
                <w:lang w:val="hr-HR"/>
              </w:rPr>
              <w:t>i</w:t>
            </w:r>
          </w:p>
        </w:tc>
        <w:tc>
          <w:tcPr>
            <w:tcW w:w="1843" w:type="dxa"/>
          </w:tcPr>
          <w:p w14:paraId="1EA958C5" w14:textId="51A9FCD7" w:rsidR="00803102" w:rsidRPr="00E721E2" w:rsidRDefault="00EC7323" w:rsidP="00C15CC1">
            <w:pPr>
              <w:jc w:val="right"/>
              <w:rPr>
                <w:rFonts w:ascii="Times New Roman" w:hAnsi="Times New Roman" w:cs="Times New Roman"/>
                <w:sz w:val="24"/>
                <w:szCs w:val="24"/>
                <w:lang w:val="hr-HR"/>
              </w:rPr>
            </w:pPr>
            <w:r>
              <w:rPr>
                <w:rFonts w:ascii="Times New Roman" w:hAnsi="Times New Roman" w:cs="Times New Roman"/>
                <w:sz w:val="24"/>
                <w:szCs w:val="24"/>
                <w:lang w:val="hr-HR"/>
              </w:rPr>
              <w:t>71</w:t>
            </w:r>
            <w:r w:rsidR="009135B4">
              <w:rPr>
                <w:rFonts w:ascii="Times New Roman" w:hAnsi="Times New Roman" w:cs="Times New Roman"/>
                <w:sz w:val="24"/>
                <w:szCs w:val="24"/>
                <w:lang w:val="hr-HR"/>
              </w:rPr>
              <w:t>9</w:t>
            </w:r>
            <w:r>
              <w:rPr>
                <w:rFonts w:ascii="Times New Roman" w:hAnsi="Times New Roman" w:cs="Times New Roman"/>
                <w:sz w:val="24"/>
                <w:szCs w:val="24"/>
                <w:lang w:val="hr-HR"/>
              </w:rPr>
              <w:t>.312,84</w:t>
            </w:r>
          </w:p>
        </w:tc>
        <w:tc>
          <w:tcPr>
            <w:tcW w:w="1843" w:type="dxa"/>
          </w:tcPr>
          <w:p w14:paraId="61BF3D1B" w14:textId="33C7E072" w:rsidR="00803102" w:rsidRPr="00E721E2" w:rsidRDefault="00EC7323" w:rsidP="00C15CC1">
            <w:pPr>
              <w:jc w:val="right"/>
              <w:rPr>
                <w:rFonts w:ascii="Times New Roman" w:hAnsi="Times New Roman" w:cs="Times New Roman"/>
                <w:sz w:val="24"/>
                <w:szCs w:val="24"/>
                <w:lang w:val="hr-HR"/>
              </w:rPr>
            </w:pPr>
            <w:r>
              <w:rPr>
                <w:rFonts w:ascii="Times New Roman" w:hAnsi="Times New Roman" w:cs="Times New Roman"/>
                <w:sz w:val="24"/>
                <w:szCs w:val="24"/>
                <w:lang w:val="hr-HR"/>
              </w:rPr>
              <w:t>825.485,50</w:t>
            </w:r>
          </w:p>
        </w:tc>
      </w:tr>
      <w:tr w:rsidR="00803102" w:rsidRPr="00E721E2" w14:paraId="6DE25056" w14:textId="77777777" w:rsidTr="00C15CC1">
        <w:tc>
          <w:tcPr>
            <w:tcW w:w="3118" w:type="dxa"/>
          </w:tcPr>
          <w:p w14:paraId="64A4C5E8" w14:textId="77777777" w:rsidR="00803102" w:rsidRPr="00E721E2" w:rsidRDefault="00803102" w:rsidP="00C15CC1">
            <w:pPr>
              <w:jc w:val="both"/>
              <w:rPr>
                <w:rFonts w:ascii="Times New Roman" w:hAnsi="Times New Roman" w:cs="Times New Roman"/>
                <w:sz w:val="24"/>
                <w:szCs w:val="24"/>
                <w:lang w:val="hr-HR"/>
              </w:rPr>
            </w:pPr>
            <w:r w:rsidRPr="00E721E2">
              <w:rPr>
                <w:rFonts w:ascii="Times New Roman" w:hAnsi="Times New Roman" w:cs="Times New Roman"/>
                <w:sz w:val="24"/>
                <w:szCs w:val="24"/>
                <w:lang w:val="hr-HR"/>
              </w:rPr>
              <w:t>Rashodi</w:t>
            </w:r>
          </w:p>
        </w:tc>
        <w:tc>
          <w:tcPr>
            <w:tcW w:w="1843" w:type="dxa"/>
          </w:tcPr>
          <w:p w14:paraId="20493977" w14:textId="079F2079" w:rsidR="00803102" w:rsidRPr="00E721E2" w:rsidRDefault="00EC7323" w:rsidP="00C15CC1">
            <w:pPr>
              <w:jc w:val="right"/>
              <w:rPr>
                <w:rFonts w:ascii="Times New Roman" w:hAnsi="Times New Roman" w:cs="Times New Roman"/>
                <w:sz w:val="24"/>
                <w:szCs w:val="24"/>
                <w:lang w:val="hr-HR"/>
              </w:rPr>
            </w:pPr>
            <w:r>
              <w:rPr>
                <w:rFonts w:ascii="Times New Roman" w:hAnsi="Times New Roman" w:cs="Times New Roman"/>
                <w:sz w:val="24"/>
                <w:szCs w:val="24"/>
                <w:lang w:val="hr-HR"/>
              </w:rPr>
              <w:t>720.666,94</w:t>
            </w:r>
          </w:p>
        </w:tc>
        <w:tc>
          <w:tcPr>
            <w:tcW w:w="1843" w:type="dxa"/>
          </w:tcPr>
          <w:p w14:paraId="342E438D" w14:textId="2B5BB105" w:rsidR="00803102" w:rsidRPr="00E721E2" w:rsidRDefault="00EC7323" w:rsidP="00C15CC1">
            <w:pPr>
              <w:jc w:val="right"/>
              <w:rPr>
                <w:rFonts w:ascii="Times New Roman" w:hAnsi="Times New Roman" w:cs="Times New Roman"/>
                <w:sz w:val="24"/>
                <w:szCs w:val="24"/>
                <w:lang w:val="hr-HR"/>
              </w:rPr>
            </w:pPr>
            <w:r>
              <w:rPr>
                <w:rFonts w:ascii="Times New Roman" w:hAnsi="Times New Roman" w:cs="Times New Roman"/>
                <w:sz w:val="24"/>
                <w:szCs w:val="24"/>
                <w:lang w:val="hr-HR"/>
              </w:rPr>
              <w:t>737.957,17</w:t>
            </w:r>
          </w:p>
        </w:tc>
      </w:tr>
    </w:tbl>
    <w:p w14:paraId="42CB0CE2" w14:textId="77777777" w:rsidR="00F120D7" w:rsidRDefault="00F120D7" w:rsidP="00803102">
      <w:pPr>
        <w:spacing w:after="0" w:line="240" w:lineRule="auto"/>
        <w:jc w:val="center"/>
        <w:rPr>
          <w:rFonts w:ascii="Times New Roman" w:hAnsi="Times New Roman" w:cs="Times New Roman"/>
          <w:sz w:val="24"/>
          <w:szCs w:val="24"/>
        </w:rPr>
      </w:pPr>
    </w:p>
    <w:p w14:paraId="38644D99" w14:textId="77777777" w:rsidR="001F32DC" w:rsidRDefault="001F32DC" w:rsidP="00803102">
      <w:pPr>
        <w:spacing w:after="0" w:line="240" w:lineRule="auto"/>
        <w:jc w:val="center"/>
        <w:rPr>
          <w:rFonts w:ascii="Times New Roman" w:hAnsi="Times New Roman" w:cs="Times New Roman"/>
          <w:sz w:val="24"/>
          <w:szCs w:val="24"/>
        </w:rPr>
      </w:pPr>
    </w:p>
    <w:p w14:paraId="0BA4B367" w14:textId="77777777" w:rsidR="001F32DC" w:rsidRDefault="001F32DC" w:rsidP="00803102">
      <w:pPr>
        <w:spacing w:after="0" w:line="240" w:lineRule="auto"/>
        <w:jc w:val="center"/>
        <w:rPr>
          <w:rFonts w:ascii="Times New Roman" w:hAnsi="Times New Roman" w:cs="Times New Roman"/>
          <w:sz w:val="24"/>
          <w:szCs w:val="24"/>
        </w:rPr>
      </w:pPr>
    </w:p>
    <w:p w14:paraId="6CF07095" w14:textId="77777777" w:rsidR="001F32DC" w:rsidRDefault="001F32DC" w:rsidP="00803102">
      <w:pPr>
        <w:spacing w:after="0" w:line="240" w:lineRule="auto"/>
        <w:jc w:val="center"/>
        <w:rPr>
          <w:rFonts w:ascii="Times New Roman" w:hAnsi="Times New Roman" w:cs="Times New Roman"/>
          <w:sz w:val="24"/>
          <w:szCs w:val="24"/>
        </w:rPr>
      </w:pPr>
    </w:p>
    <w:p w14:paraId="4EDF59A5" w14:textId="77777777" w:rsidR="001F32DC" w:rsidRDefault="001F32DC" w:rsidP="00803102">
      <w:pPr>
        <w:spacing w:after="0" w:line="240" w:lineRule="auto"/>
        <w:jc w:val="center"/>
        <w:rPr>
          <w:rFonts w:ascii="Times New Roman" w:hAnsi="Times New Roman" w:cs="Times New Roman"/>
          <w:sz w:val="24"/>
          <w:szCs w:val="24"/>
        </w:rPr>
      </w:pPr>
    </w:p>
    <w:p w14:paraId="46615F0F" w14:textId="77777777" w:rsidR="001F32DC" w:rsidRDefault="001F32DC" w:rsidP="00803102">
      <w:pPr>
        <w:spacing w:after="0" w:line="240" w:lineRule="auto"/>
        <w:jc w:val="center"/>
        <w:rPr>
          <w:rFonts w:ascii="Times New Roman" w:hAnsi="Times New Roman" w:cs="Times New Roman"/>
          <w:sz w:val="24"/>
          <w:szCs w:val="24"/>
        </w:rPr>
      </w:pPr>
    </w:p>
    <w:p w14:paraId="33C6B5B8" w14:textId="77777777" w:rsidR="001F32DC" w:rsidRDefault="001F32DC" w:rsidP="00803102">
      <w:pPr>
        <w:spacing w:after="0" w:line="240" w:lineRule="auto"/>
        <w:jc w:val="center"/>
        <w:rPr>
          <w:rFonts w:ascii="Times New Roman" w:hAnsi="Times New Roman" w:cs="Times New Roman"/>
          <w:sz w:val="24"/>
          <w:szCs w:val="24"/>
        </w:rPr>
      </w:pPr>
    </w:p>
    <w:p w14:paraId="5E414738" w14:textId="77777777" w:rsidR="001F32DC" w:rsidRDefault="001F32DC" w:rsidP="00803102">
      <w:pPr>
        <w:spacing w:after="0" w:line="240" w:lineRule="auto"/>
        <w:jc w:val="center"/>
        <w:rPr>
          <w:rFonts w:ascii="Times New Roman" w:hAnsi="Times New Roman" w:cs="Times New Roman"/>
          <w:sz w:val="24"/>
          <w:szCs w:val="24"/>
        </w:rPr>
      </w:pPr>
    </w:p>
    <w:p w14:paraId="474EA35B" w14:textId="77777777" w:rsidR="001F32DC" w:rsidRDefault="001F32DC" w:rsidP="00803102">
      <w:pPr>
        <w:spacing w:after="0" w:line="240" w:lineRule="auto"/>
        <w:jc w:val="center"/>
        <w:rPr>
          <w:rFonts w:ascii="Times New Roman" w:hAnsi="Times New Roman" w:cs="Times New Roman"/>
          <w:sz w:val="24"/>
          <w:szCs w:val="24"/>
        </w:rPr>
      </w:pPr>
    </w:p>
    <w:p w14:paraId="08D2C12C" w14:textId="77777777" w:rsidR="001F32DC" w:rsidRDefault="001F32DC" w:rsidP="00803102">
      <w:pPr>
        <w:spacing w:after="0" w:line="240" w:lineRule="auto"/>
        <w:jc w:val="center"/>
        <w:rPr>
          <w:rFonts w:ascii="Times New Roman" w:hAnsi="Times New Roman" w:cs="Times New Roman"/>
          <w:sz w:val="24"/>
          <w:szCs w:val="24"/>
        </w:rPr>
      </w:pPr>
    </w:p>
    <w:p w14:paraId="53926487" w14:textId="77777777" w:rsidR="001F32DC" w:rsidRDefault="001F32DC" w:rsidP="00803102">
      <w:pPr>
        <w:spacing w:after="0" w:line="240" w:lineRule="auto"/>
        <w:jc w:val="center"/>
        <w:rPr>
          <w:rFonts w:ascii="Times New Roman" w:hAnsi="Times New Roman" w:cs="Times New Roman"/>
          <w:sz w:val="24"/>
          <w:szCs w:val="24"/>
        </w:rPr>
      </w:pPr>
    </w:p>
    <w:p w14:paraId="30B82C31" w14:textId="77777777" w:rsidR="001F32DC" w:rsidRDefault="001F32DC" w:rsidP="00803102">
      <w:pPr>
        <w:spacing w:after="0" w:line="240" w:lineRule="auto"/>
        <w:jc w:val="center"/>
        <w:rPr>
          <w:rFonts w:ascii="Times New Roman" w:hAnsi="Times New Roman" w:cs="Times New Roman"/>
          <w:sz w:val="24"/>
          <w:szCs w:val="24"/>
        </w:rPr>
      </w:pPr>
    </w:p>
    <w:p w14:paraId="35D6E784" w14:textId="77777777" w:rsidR="00A97E22" w:rsidRDefault="00A97E22" w:rsidP="00803102">
      <w:pPr>
        <w:spacing w:after="0" w:line="240" w:lineRule="auto"/>
        <w:jc w:val="center"/>
        <w:rPr>
          <w:rFonts w:ascii="Times New Roman" w:hAnsi="Times New Roman" w:cs="Times New Roman"/>
          <w:sz w:val="24"/>
          <w:szCs w:val="24"/>
        </w:rPr>
      </w:pPr>
    </w:p>
    <w:p w14:paraId="2521FB2C" w14:textId="3F4485BA" w:rsidR="00803102" w:rsidRDefault="00803102" w:rsidP="00803102">
      <w:pPr>
        <w:spacing w:after="0" w:line="240" w:lineRule="auto"/>
        <w:jc w:val="center"/>
        <w:rPr>
          <w:rFonts w:ascii="Times New Roman" w:hAnsi="Times New Roman" w:cs="Times New Roman"/>
          <w:sz w:val="24"/>
          <w:szCs w:val="24"/>
        </w:rPr>
      </w:pPr>
      <w:r w:rsidRPr="00E721E2">
        <w:rPr>
          <w:rFonts w:ascii="Times New Roman" w:hAnsi="Times New Roman" w:cs="Times New Roman"/>
          <w:sz w:val="24"/>
          <w:szCs w:val="24"/>
        </w:rPr>
        <w:lastRenderedPageBreak/>
        <w:t>Grafikon 1. Usporedba prihoda i rashoda za 202</w:t>
      </w:r>
      <w:r w:rsidR="005F74AF" w:rsidRPr="00E721E2">
        <w:rPr>
          <w:rFonts w:ascii="Times New Roman" w:hAnsi="Times New Roman" w:cs="Times New Roman"/>
          <w:sz w:val="24"/>
          <w:szCs w:val="24"/>
        </w:rPr>
        <w:t>3</w:t>
      </w:r>
      <w:r w:rsidRPr="00E721E2">
        <w:rPr>
          <w:rFonts w:ascii="Times New Roman" w:hAnsi="Times New Roman" w:cs="Times New Roman"/>
          <w:sz w:val="24"/>
          <w:szCs w:val="24"/>
        </w:rPr>
        <w:t>. i 202</w:t>
      </w:r>
      <w:r w:rsidR="005F74AF" w:rsidRPr="00E721E2">
        <w:rPr>
          <w:rFonts w:ascii="Times New Roman" w:hAnsi="Times New Roman" w:cs="Times New Roman"/>
          <w:sz w:val="24"/>
          <w:szCs w:val="24"/>
        </w:rPr>
        <w:t>4</w:t>
      </w:r>
      <w:r w:rsidRPr="00E721E2">
        <w:rPr>
          <w:rFonts w:ascii="Times New Roman" w:hAnsi="Times New Roman" w:cs="Times New Roman"/>
          <w:sz w:val="24"/>
          <w:szCs w:val="24"/>
        </w:rPr>
        <w:t>. godinu</w:t>
      </w:r>
    </w:p>
    <w:p w14:paraId="3C7A25B6" w14:textId="7BD7DBF8" w:rsidR="00B91745" w:rsidRPr="00E721E2" w:rsidRDefault="00B91745" w:rsidP="00803102">
      <w:pPr>
        <w:spacing w:after="0" w:line="240" w:lineRule="auto"/>
        <w:jc w:val="center"/>
        <w:rPr>
          <w:rFonts w:ascii="Times New Roman" w:hAnsi="Times New Roman" w:cs="Times New Roman"/>
          <w:sz w:val="24"/>
          <w:szCs w:val="24"/>
        </w:rPr>
      </w:pPr>
      <w:r>
        <w:rPr>
          <w:noProof/>
        </w:rPr>
        <w:drawing>
          <wp:inline distT="0" distB="0" distL="0" distR="0" wp14:anchorId="231EBC12" wp14:editId="7EE7540C">
            <wp:extent cx="4627659" cy="2496710"/>
            <wp:effectExtent l="0" t="0" r="1905" b="18415"/>
            <wp:docPr id="1828112391" name="Grafikon 1">
              <a:extLst xmlns:a="http://schemas.openxmlformats.org/drawingml/2006/main">
                <a:ext uri="{FF2B5EF4-FFF2-40B4-BE49-F238E27FC236}">
                  <a16:creationId xmlns:a16="http://schemas.microsoft.com/office/drawing/2014/main" id="{5AC47635-4705-42BB-BCBC-C57A19036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5BC69A" w14:textId="408BEA8B" w:rsidR="00214485" w:rsidRPr="00E721E2" w:rsidRDefault="00214485" w:rsidP="00803102">
      <w:pPr>
        <w:spacing w:after="0" w:line="240" w:lineRule="auto"/>
        <w:jc w:val="center"/>
        <w:rPr>
          <w:rFonts w:ascii="Times New Roman" w:hAnsi="Times New Roman" w:cs="Times New Roman"/>
          <w:sz w:val="24"/>
          <w:szCs w:val="24"/>
        </w:rPr>
      </w:pPr>
    </w:p>
    <w:p w14:paraId="3659E4B5" w14:textId="77777777" w:rsidR="00F120D7" w:rsidRDefault="00F120D7" w:rsidP="001D5521">
      <w:pPr>
        <w:spacing w:line="240" w:lineRule="auto"/>
        <w:rPr>
          <w:rFonts w:ascii="Times New Roman" w:hAnsi="Times New Roman" w:cs="Times New Roman"/>
          <w:b/>
          <w:bCs/>
          <w:color w:val="538135" w:themeColor="accent6" w:themeShade="BF"/>
          <w:sz w:val="24"/>
          <w:szCs w:val="24"/>
        </w:rPr>
      </w:pPr>
    </w:p>
    <w:p w14:paraId="6B5A347A" w14:textId="62128401" w:rsidR="00803102" w:rsidRPr="00C25598" w:rsidRDefault="00C25598" w:rsidP="001D5521">
      <w:pPr>
        <w:spacing w:line="240" w:lineRule="auto"/>
        <w:rPr>
          <w:rFonts w:ascii="Times New Roman" w:hAnsi="Times New Roman" w:cs="Times New Roman"/>
          <w:b/>
          <w:bCs/>
          <w:sz w:val="24"/>
          <w:szCs w:val="24"/>
        </w:rPr>
      </w:pPr>
      <w:r>
        <w:rPr>
          <w:rFonts w:ascii="Times New Roman" w:hAnsi="Times New Roman" w:cs="Times New Roman"/>
          <w:b/>
          <w:bCs/>
          <w:sz w:val="24"/>
          <w:szCs w:val="24"/>
        </w:rPr>
        <w:t>3.1.</w:t>
      </w:r>
      <w:r w:rsidR="001D5521" w:rsidRPr="00C25598">
        <w:rPr>
          <w:rFonts w:ascii="Times New Roman" w:hAnsi="Times New Roman" w:cs="Times New Roman"/>
          <w:b/>
          <w:bCs/>
          <w:sz w:val="24"/>
          <w:szCs w:val="24"/>
        </w:rPr>
        <w:t xml:space="preserve">1. </w:t>
      </w:r>
      <w:r w:rsidR="00803102" w:rsidRPr="00C25598">
        <w:rPr>
          <w:rFonts w:ascii="Times New Roman" w:hAnsi="Times New Roman" w:cs="Times New Roman"/>
          <w:b/>
          <w:bCs/>
          <w:sz w:val="24"/>
          <w:szCs w:val="24"/>
        </w:rPr>
        <w:t>PRIHODI</w:t>
      </w:r>
    </w:p>
    <w:p w14:paraId="7E9C0A0D" w14:textId="0894EE21" w:rsidR="00803102" w:rsidRPr="00E974B9" w:rsidRDefault="00803102" w:rsidP="00803102">
      <w:pPr>
        <w:spacing w:after="0" w:line="240" w:lineRule="auto"/>
        <w:jc w:val="both"/>
        <w:rPr>
          <w:rFonts w:ascii="Times New Roman" w:hAnsi="Times New Roman"/>
          <w:sz w:val="24"/>
          <w:szCs w:val="24"/>
        </w:rPr>
      </w:pPr>
      <w:r w:rsidRPr="00E974B9">
        <w:rPr>
          <w:rFonts w:ascii="Times New Roman" w:hAnsi="Times New Roman"/>
          <w:sz w:val="24"/>
          <w:szCs w:val="24"/>
        </w:rPr>
        <w:t>U razdoblju od 01.01. do 3</w:t>
      </w:r>
      <w:r w:rsidR="00B91745" w:rsidRPr="00E974B9">
        <w:rPr>
          <w:rFonts w:ascii="Times New Roman" w:hAnsi="Times New Roman"/>
          <w:sz w:val="24"/>
          <w:szCs w:val="24"/>
        </w:rPr>
        <w:t>1</w:t>
      </w:r>
      <w:r w:rsidRPr="00E974B9">
        <w:rPr>
          <w:rFonts w:ascii="Times New Roman" w:hAnsi="Times New Roman"/>
          <w:sz w:val="24"/>
          <w:szCs w:val="24"/>
        </w:rPr>
        <w:t>.</w:t>
      </w:r>
      <w:r w:rsidR="00B91745" w:rsidRPr="00E974B9">
        <w:rPr>
          <w:rFonts w:ascii="Times New Roman" w:hAnsi="Times New Roman"/>
          <w:sz w:val="24"/>
          <w:szCs w:val="24"/>
        </w:rPr>
        <w:t>12</w:t>
      </w:r>
      <w:r w:rsidRPr="00E974B9">
        <w:rPr>
          <w:rFonts w:ascii="Times New Roman" w:hAnsi="Times New Roman"/>
          <w:sz w:val="24"/>
          <w:szCs w:val="24"/>
        </w:rPr>
        <w:t>.202</w:t>
      </w:r>
      <w:r w:rsidR="007C7116" w:rsidRPr="00E974B9">
        <w:rPr>
          <w:rFonts w:ascii="Times New Roman" w:hAnsi="Times New Roman"/>
          <w:sz w:val="24"/>
          <w:szCs w:val="24"/>
        </w:rPr>
        <w:t>4</w:t>
      </w:r>
      <w:r w:rsidRPr="00E974B9">
        <w:rPr>
          <w:rFonts w:ascii="Times New Roman" w:hAnsi="Times New Roman"/>
          <w:sz w:val="24"/>
          <w:szCs w:val="24"/>
        </w:rPr>
        <w:t xml:space="preserve">. godine Razvojna agencija PORA KKŽ ostvarila je prihode u iznosu od </w:t>
      </w:r>
      <w:r w:rsidR="00B91745" w:rsidRPr="00E974B9">
        <w:rPr>
          <w:rFonts w:ascii="Times New Roman" w:hAnsi="Times New Roman"/>
          <w:b/>
          <w:bCs/>
          <w:sz w:val="24"/>
          <w:szCs w:val="24"/>
        </w:rPr>
        <w:t>825.485,50</w:t>
      </w:r>
      <w:r w:rsidRPr="00E974B9">
        <w:rPr>
          <w:rFonts w:ascii="Times New Roman" w:hAnsi="Times New Roman"/>
          <w:b/>
          <w:bCs/>
          <w:sz w:val="24"/>
          <w:szCs w:val="24"/>
        </w:rPr>
        <w:t xml:space="preserve"> </w:t>
      </w:r>
      <w:r w:rsidR="00B92D8B" w:rsidRPr="00E974B9">
        <w:rPr>
          <w:rFonts w:ascii="Times New Roman" w:hAnsi="Times New Roman"/>
          <w:b/>
          <w:bCs/>
          <w:sz w:val="24"/>
          <w:szCs w:val="24"/>
        </w:rPr>
        <w:t>eura</w:t>
      </w:r>
      <w:r w:rsidRPr="00E974B9">
        <w:rPr>
          <w:rFonts w:ascii="Times New Roman" w:hAnsi="Times New Roman"/>
          <w:b/>
          <w:bCs/>
          <w:sz w:val="24"/>
          <w:szCs w:val="24"/>
        </w:rPr>
        <w:t xml:space="preserve"> što iznosi </w:t>
      </w:r>
      <w:r w:rsidR="00B91745" w:rsidRPr="00E974B9">
        <w:rPr>
          <w:rFonts w:ascii="Times New Roman" w:hAnsi="Times New Roman"/>
          <w:b/>
          <w:bCs/>
          <w:sz w:val="24"/>
          <w:szCs w:val="24"/>
        </w:rPr>
        <w:t>92,62</w:t>
      </w:r>
      <w:r w:rsidRPr="00E974B9">
        <w:rPr>
          <w:rFonts w:ascii="Times New Roman" w:hAnsi="Times New Roman"/>
          <w:b/>
          <w:bCs/>
          <w:sz w:val="24"/>
          <w:szCs w:val="24"/>
        </w:rPr>
        <w:t xml:space="preserve">% </w:t>
      </w:r>
      <w:r w:rsidRPr="00E974B9">
        <w:rPr>
          <w:rFonts w:ascii="Times New Roman" w:hAnsi="Times New Roman"/>
          <w:sz w:val="24"/>
          <w:szCs w:val="24"/>
        </w:rPr>
        <w:t>ukupno planiranih tekućih prihoda za 202</w:t>
      </w:r>
      <w:r w:rsidR="007C7116" w:rsidRPr="00E974B9">
        <w:rPr>
          <w:rFonts w:ascii="Times New Roman" w:hAnsi="Times New Roman"/>
          <w:sz w:val="24"/>
          <w:szCs w:val="24"/>
        </w:rPr>
        <w:t>4</w:t>
      </w:r>
      <w:r w:rsidRPr="00E974B9">
        <w:rPr>
          <w:rFonts w:ascii="Times New Roman" w:hAnsi="Times New Roman"/>
          <w:sz w:val="24"/>
          <w:szCs w:val="24"/>
        </w:rPr>
        <w:t xml:space="preserve">. godinu. </w:t>
      </w:r>
      <w:r w:rsidR="00CC673D" w:rsidRPr="00E974B9">
        <w:rPr>
          <w:rFonts w:ascii="Times New Roman" w:hAnsi="Times New Roman"/>
          <w:sz w:val="24"/>
          <w:szCs w:val="24"/>
        </w:rPr>
        <w:t xml:space="preserve">Dinamika ostvarenih prihoda u skladu je s planiranim priljevom sredstava iz Proračuna Koprivničko-križevačke županije te iz </w:t>
      </w:r>
      <w:r w:rsidR="00E974B9" w:rsidRPr="00E974B9">
        <w:rPr>
          <w:rFonts w:ascii="Times New Roman" w:hAnsi="Times New Roman"/>
          <w:sz w:val="24"/>
          <w:szCs w:val="24"/>
        </w:rPr>
        <w:t xml:space="preserve">EU </w:t>
      </w:r>
      <w:r w:rsidR="00CC673D" w:rsidRPr="00E974B9">
        <w:rPr>
          <w:rFonts w:ascii="Times New Roman" w:hAnsi="Times New Roman"/>
          <w:sz w:val="24"/>
          <w:szCs w:val="24"/>
        </w:rPr>
        <w:t>sredstva temeljem odobrenih i isplaćenih Zahtjeva za doznaku sredstava po određenim EU projektima.</w:t>
      </w:r>
    </w:p>
    <w:p w14:paraId="3AC90A53" w14:textId="1350D137" w:rsidR="00803102" w:rsidRDefault="00803102" w:rsidP="00803102">
      <w:pPr>
        <w:spacing w:after="0" w:line="240" w:lineRule="auto"/>
        <w:jc w:val="both"/>
        <w:rPr>
          <w:rFonts w:ascii="Times New Roman" w:hAnsi="Times New Roman"/>
          <w:color w:val="388600"/>
          <w:sz w:val="24"/>
          <w:szCs w:val="24"/>
        </w:rPr>
      </w:pPr>
      <w:r w:rsidRPr="00E721E2">
        <w:rPr>
          <w:rFonts w:ascii="Times New Roman" w:hAnsi="Times New Roman"/>
          <w:sz w:val="24"/>
          <w:szCs w:val="24"/>
        </w:rPr>
        <w:t xml:space="preserve">Iz Proračuna Koprivničko-križevačke županije ostvareno je ukupno </w:t>
      </w:r>
      <w:r w:rsidR="00B91745">
        <w:rPr>
          <w:rFonts w:ascii="Times New Roman" w:hAnsi="Times New Roman"/>
          <w:sz w:val="24"/>
          <w:szCs w:val="24"/>
        </w:rPr>
        <w:t>331.975,82</w:t>
      </w:r>
      <w:r w:rsidR="00B92D8B" w:rsidRPr="00E721E2">
        <w:rPr>
          <w:rFonts w:ascii="Times New Roman" w:hAnsi="Times New Roman"/>
          <w:sz w:val="24"/>
          <w:szCs w:val="24"/>
        </w:rPr>
        <w:t xml:space="preserve"> eura</w:t>
      </w:r>
      <w:r w:rsidRPr="00E721E2">
        <w:rPr>
          <w:rFonts w:ascii="Times New Roman" w:hAnsi="Times New Roman"/>
          <w:sz w:val="24"/>
          <w:szCs w:val="24"/>
        </w:rPr>
        <w:t xml:space="preserve"> odnosno </w:t>
      </w:r>
      <w:r w:rsidR="009135B4">
        <w:rPr>
          <w:rFonts w:ascii="Times New Roman" w:hAnsi="Times New Roman"/>
          <w:sz w:val="24"/>
          <w:szCs w:val="24"/>
        </w:rPr>
        <w:t>8</w:t>
      </w:r>
      <w:r w:rsidR="00B91745">
        <w:rPr>
          <w:rFonts w:ascii="Times New Roman" w:hAnsi="Times New Roman"/>
          <w:sz w:val="24"/>
          <w:szCs w:val="24"/>
        </w:rPr>
        <w:t>2,39</w:t>
      </w:r>
      <w:r w:rsidRPr="00E721E2">
        <w:rPr>
          <w:rFonts w:ascii="Times New Roman" w:hAnsi="Times New Roman"/>
          <w:sz w:val="24"/>
          <w:szCs w:val="24"/>
        </w:rPr>
        <w:t>% planiranih prihoda</w:t>
      </w:r>
      <w:r w:rsidR="00E974B9">
        <w:rPr>
          <w:rFonts w:ascii="Times New Roman" w:hAnsi="Times New Roman"/>
          <w:sz w:val="24"/>
          <w:szCs w:val="24"/>
        </w:rPr>
        <w:t>.</w:t>
      </w:r>
      <w:r w:rsidRPr="00E721E2">
        <w:rPr>
          <w:rFonts w:ascii="Times New Roman" w:hAnsi="Times New Roman"/>
          <w:sz w:val="24"/>
          <w:szCs w:val="24"/>
        </w:rPr>
        <w:t xml:space="preserve"> Za financiranje redovne djelatnosti i sufinanciranje provedbe EU projekata Razvojne agencije PORE KKŽ iz Proračuna Koprivničko-križevačke županije ostvareno je </w:t>
      </w:r>
      <w:r w:rsidR="00B91745">
        <w:rPr>
          <w:rFonts w:ascii="Times New Roman" w:hAnsi="Times New Roman"/>
          <w:sz w:val="24"/>
          <w:szCs w:val="24"/>
        </w:rPr>
        <w:t>282.081,90</w:t>
      </w:r>
      <w:r w:rsidRPr="00E721E2">
        <w:rPr>
          <w:rFonts w:ascii="Times New Roman" w:hAnsi="Times New Roman"/>
          <w:sz w:val="24"/>
          <w:szCs w:val="24"/>
        </w:rPr>
        <w:t xml:space="preserve"> </w:t>
      </w:r>
      <w:r w:rsidR="005A7CE4" w:rsidRPr="00E721E2">
        <w:rPr>
          <w:rFonts w:ascii="Times New Roman" w:hAnsi="Times New Roman"/>
          <w:sz w:val="24"/>
          <w:szCs w:val="24"/>
        </w:rPr>
        <w:t>eura</w:t>
      </w:r>
      <w:r w:rsidRPr="00E721E2">
        <w:rPr>
          <w:rFonts w:ascii="Times New Roman" w:hAnsi="Times New Roman"/>
          <w:sz w:val="24"/>
          <w:szCs w:val="24"/>
        </w:rPr>
        <w:t xml:space="preserve"> ili </w:t>
      </w:r>
      <w:r w:rsidR="00B91745">
        <w:rPr>
          <w:rFonts w:ascii="Times New Roman" w:hAnsi="Times New Roman"/>
          <w:sz w:val="24"/>
          <w:szCs w:val="24"/>
        </w:rPr>
        <w:t>91,10</w:t>
      </w:r>
      <w:r w:rsidRPr="00E721E2">
        <w:rPr>
          <w:rFonts w:ascii="Times New Roman" w:hAnsi="Times New Roman"/>
          <w:sz w:val="24"/>
          <w:szCs w:val="24"/>
        </w:rPr>
        <w:t>%</w:t>
      </w:r>
      <w:r w:rsidR="00E974B9">
        <w:rPr>
          <w:rFonts w:ascii="Times New Roman" w:hAnsi="Times New Roman"/>
          <w:sz w:val="24"/>
          <w:szCs w:val="24"/>
        </w:rPr>
        <w:t xml:space="preserve">  planiranih prihoda. </w:t>
      </w:r>
      <w:r w:rsidR="00E974B9" w:rsidRPr="00E974B9">
        <w:rPr>
          <w:rFonts w:ascii="Times New Roman" w:hAnsi="Times New Roman"/>
          <w:sz w:val="24"/>
          <w:szCs w:val="24"/>
        </w:rPr>
        <w:t>Z</w:t>
      </w:r>
      <w:r w:rsidRPr="00E974B9">
        <w:rPr>
          <w:rFonts w:ascii="Times New Roman" w:hAnsi="Times New Roman"/>
          <w:sz w:val="24"/>
          <w:szCs w:val="24"/>
        </w:rPr>
        <w:t xml:space="preserve">a predfinanciranje EU projekata ostvareno </w:t>
      </w:r>
      <w:r w:rsidR="00B91745" w:rsidRPr="00E974B9">
        <w:rPr>
          <w:rFonts w:ascii="Times New Roman" w:hAnsi="Times New Roman"/>
          <w:sz w:val="24"/>
          <w:szCs w:val="24"/>
        </w:rPr>
        <w:t>49.893,92</w:t>
      </w:r>
      <w:r w:rsidRPr="00E974B9">
        <w:rPr>
          <w:rFonts w:ascii="Times New Roman" w:hAnsi="Times New Roman"/>
          <w:sz w:val="24"/>
          <w:szCs w:val="24"/>
        </w:rPr>
        <w:t xml:space="preserve"> </w:t>
      </w:r>
      <w:r w:rsidR="005A7CE4" w:rsidRPr="00E974B9">
        <w:rPr>
          <w:rFonts w:ascii="Times New Roman" w:hAnsi="Times New Roman"/>
          <w:sz w:val="24"/>
          <w:szCs w:val="24"/>
        </w:rPr>
        <w:t>eura</w:t>
      </w:r>
      <w:r w:rsidRPr="00E974B9">
        <w:rPr>
          <w:rFonts w:ascii="Times New Roman" w:hAnsi="Times New Roman"/>
          <w:sz w:val="24"/>
          <w:szCs w:val="24"/>
        </w:rPr>
        <w:t xml:space="preserve"> ili </w:t>
      </w:r>
      <w:r w:rsidR="00B91745" w:rsidRPr="00E974B9">
        <w:rPr>
          <w:rFonts w:ascii="Times New Roman" w:hAnsi="Times New Roman"/>
          <w:sz w:val="24"/>
          <w:szCs w:val="24"/>
        </w:rPr>
        <w:t>53,49</w:t>
      </w:r>
      <w:r w:rsidRPr="00E974B9">
        <w:rPr>
          <w:rFonts w:ascii="Times New Roman" w:hAnsi="Times New Roman"/>
          <w:sz w:val="24"/>
          <w:szCs w:val="24"/>
        </w:rPr>
        <w:t>% planiranih sredstava</w:t>
      </w:r>
      <w:r w:rsidR="00CC673D" w:rsidRPr="00E974B9">
        <w:rPr>
          <w:rFonts w:ascii="Times New Roman" w:hAnsi="Times New Roman"/>
          <w:sz w:val="24"/>
          <w:szCs w:val="24"/>
        </w:rPr>
        <w:t xml:space="preserve"> za koji je iznos na kraju godine izvršena korekcija rezultata</w:t>
      </w:r>
      <w:r w:rsidR="009135B4" w:rsidRPr="00E974B9">
        <w:rPr>
          <w:rFonts w:ascii="Times New Roman" w:hAnsi="Times New Roman"/>
          <w:sz w:val="24"/>
          <w:szCs w:val="24"/>
        </w:rPr>
        <w:t xml:space="preserve"> i koji je vraćen u Proračun Koprivničko-križevačke županije</w:t>
      </w:r>
      <w:r w:rsidR="00CC673D" w:rsidRPr="00E974B9">
        <w:rPr>
          <w:rFonts w:ascii="Times New Roman" w:hAnsi="Times New Roman"/>
          <w:sz w:val="24"/>
          <w:szCs w:val="24"/>
        </w:rPr>
        <w:t>.</w:t>
      </w:r>
    </w:p>
    <w:p w14:paraId="2B976843" w14:textId="77777777" w:rsidR="00CC673D" w:rsidRPr="00E721E2" w:rsidRDefault="00CC673D" w:rsidP="00803102">
      <w:pPr>
        <w:spacing w:after="0" w:line="240" w:lineRule="auto"/>
        <w:jc w:val="both"/>
        <w:rPr>
          <w:rFonts w:ascii="Times New Roman" w:hAnsi="Times New Roman"/>
          <w:sz w:val="24"/>
          <w:szCs w:val="24"/>
        </w:rPr>
      </w:pPr>
    </w:p>
    <w:p w14:paraId="72E31898" w14:textId="4A40EB21" w:rsidR="00462478" w:rsidRPr="00E974B9" w:rsidRDefault="00803102" w:rsidP="00803102">
      <w:pPr>
        <w:spacing w:after="0" w:line="240" w:lineRule="auto"/>
        <w:jc w:val="both"/>
        <w:rPr>
          <w:rFonts w:ascii="Times New Roman" w:hAnsi="Times New Roman"/>
          <w:sz w:val="24"/>
          <w:szCs w:val="24"/>
        </w:rPr>
      </w:pPr>
      <w:r w:rsidRPr="00E721E2">
        <w:rPr>
          <w:rFonts w:ascii="Times New Roman" w:hAnsi="Times New Roman"/>
          <w:sz w:val="24"/>
          <w:szCs w:val="24"/>
        </w:rPr>
        <w:t>Prihodi ostvareni temeljem provedbe EU projekata iz sredstava EU</w:t>
      </w:r>
      <w:r w:rsidR="00E974B9">
        <w:rPr>
          <w:rFonts w:ascii="Times New Roman" w:hAnsi="Times New Roman"/>
          <w:sz w:val="24"/>
          <w:szCs w:val="24"/>
        </w:rPr>
        <w:t xml:space="preserve"> fondova</w:t>
      </w:r>
      <w:r w:rsidRPr="00E721E2">
        <w:rPr>
          <w:rFonts w:ascii="Times New Roman" w:hAnsi="Times New Roman"/>
          <w:sz w:val="24"/>
          <w:szCs w:val="24"/>
        </w:rPr>
        <w:t xml:space="preserve"> ostvareni su u iznosu </w:t>
      </w:r>
      <w:r w:rsidR="00B91745">
        <w:rPr>
          <w:rFonts w:ascii="Times New Roman" w:hAnsi="Times New Roman"/>
          <w:sz w:val="24"/>
          <w:szCs w:val="24"/>
        </w:rPr>
        <w:t>492.362,76</w:t>
      </w:r>
      <w:r w:rsidR="006E3FEB" w:rsidRPr="00E721E2">
        <w:rPr>
          <w:rFonts w:ascii="Times New Roman" w:hAnsi="Times New Roman"/>
          <w:sz w:val="24"/>
          <w:szCs w:val="24"/>
        </w:rPr>
        <w:t xml:space="preserve"> eura</w:t>
      </w:r>
      <w:r w:rsidRPr="00E721E2">
        <w:rPr>
          <w:rFonts w:ascii="Times New Roman" w:hAnsi="Times New Roman"/>
          <w:b/>
          <w:bCs/>
          <w:sz w:val="24"/>
          <w:szCs w:val="24"/>
        </w:rPr>
        <w:t xml:space="preserve"> </w:t>
      </w:r>
      <w:r w:rsidRPr="00E721E2">
        <w:rPr>
          <w:rFonts w:ascii="Times New Roman" w:hAnsi="Times New Roman"/>
          <w:sz w:val="24"/>
          <w:szCs w:val="24"/>
        </w:rPr>
        <w:t xml:space="preserve">što iznosi </w:t>
      </w:r>
      <w:r w:rsidR="00B91745">
        <w:rPr>
          <w:rFonts w:ascii="Times New Roman" w:hAnsi="Times New Roman"/>
          <w:sz w:val="24"/>
          <w:szCs w:val="24"/>
        </w:rPr>
        <w:t xml:space="preserve">100,93% </w:t>
      </w:r>
      <w:r w:rsidRPr="00E721E2">
        <w:rPr>
          <w:rFonts w:ascii="Times New Roman" w:hAnsi="Times New Roman"/>
          <w:sz w:val="24"/>
          <w:szCs w:val="24"/>
        </w:rPr>
        <w:t>ostvarenih planiranih prihoda iz EU sredstava za 202</w:t>
      </w:r>
      <w:r w:rsidR="007C7116" w:rsidRPr="00E721E2">
        <w:rPr>
          <w:rFonts w:ascii="Times New Roman" w:hAnsi="Times New Roman"/>
          <w:sz w:val="24"/>
          <w:szCs w:val="24"/>
        </w:rPr>
        <w:t>4</w:t>
      </w:r>
      <w:r w:rsidRPr="00E721E2">
        <w:rPr>
          <w:rFonts w:ascii="Times New Roman" w:hAnsi="Times New Roman"/>
          <w:sz w:val="24"/>
          <w:szCs w:val="24"/>
        </w:rPr>
        <w:t xml:space="preserve">. godinu. </w:t>
      </w:r>
      <w:r w:rsidRPr="00E974B9">
        <w:rPr>
          <w:rFonts w:ascii="Times New Roman" w:hAnsi="Times New Roman"/>
          <w:sz w:val="24"/>
          <w:szCs w:val="24"/>
        </w:rPr>
        <w:t xml:space="preserve">Prihodi od EU ostvareni su temeljem </w:t>
      </w:r>
      <w:r w:rsidR="00625A4E" w:rsidRPr="00E974B9">
        <w:rPr>
          <w:rFonts w:ascii="Times New Roman" w:hAnsi="Times New Roman"/>
          <w:sz w:val="24"/>
          <w:szCs w:val="24"/>
        </w:rPr>
        <w:t xml:space="preserve">provedbe aktivnosti temeljem </w:t>
      </w:r>
      <w:r w:rsidR="00625A4E" w:rsidRPr="00E974B9">
        <w:rPr>
          <w:rFonts w:ascii="Times New Roman" w:hAnsi="Times New Roman" w:cs="Times New Roman"/>
          <w:sz w:val="24"/>
          <w:szCs w:val="24"/>
          <w:shd w:val="clear" w:color="auto" w:fill="FFFFFF"/>
        </w:rPr>
        <w:t>Sporazuma o dodjeli bespovratnih sredstava u provedbi jačanja kapaciteta na regionalnoj i lokalnoj razini za korištenje sredstava EU fondova Ministarstva regionalnoga razvoja i fondova EU</w:t>
      </w:r>
      <w:r w:rsidR="00E974B9" w:rsidRPr="00E974B9">
        <w:rPr>
          <w:rFonts w:ascii="Times New Roman" w:hAnsi="Times New Roman" w:cs="Times New Roman"/>
          <w:sz w:val="24"/>
          <w:szCs w:val="24"/>
          <w:shd w:val="clear" w:color="auto" w:fill="FFFFFF"/>
        </w:rPr>
        <w:t xml:space="preserve">, </w:t>
      </w:r>
      <w:r w:rsidR="00625A4E" w:rsidRPr="00E974B9">
        <w:rPr>
          <w:rFonts w:ascii="Times New Roman" w:hAnsi="Times New Roman" w:cs="Times New Roman"/>
          <w:sz w:val="24"/>
          <w:szCs w:val="24"/>
          <w:shd w:val="clear" w:color="auto" w:fill="FFFFFF"/>
        </w:rPr>
        <w:t xml:space="preserve"> p</w:t>
      </w:r>
      <w:r w:rsidRPr="00E974B9">
        <w:rPr>
          <w:rFonts w:ascii="Times New Roman" w:hAnsi="Times New Roman"/>
          <w:sz w:val="24"/>
          <w:szCs w:val="24"/>
        </w:rPr>
        <w:t>rovedbe projekata „UZ PORU PO POTPORU“,</w:t>
      </w:r>
      <w:r w:rsidR="00E974B9" w:rsidRPr="00E974B9">
        <w:rPr>
          <w:rFonts w:ascii="Times New Roman" w:hAnsi="Times New Roman"/>
          <w:sz w:val="24"/>
          <w:szCs w:val="24"/>
        </w:rPr>
        <w:t xml:space="preserve"> provedbe projekta</w:t>
      </w:r>
      <w:r w:rsidRPr="00E974B9">
        <w:rPr>
          <w:rFonts w:ascii="Times New Roman" w:hAnsi="Times New Roman"/>
          <w:sz w:val="24"/>
          <w:szCs w:val="24"/>
        </w:rPr>
        <w:t xml:space="preserve"> „Europe Direct Koprivničko-križevačke županije“</w:t>
      </w:r>
      <w:r w:rsidR="007C7116" w:rsidRPr="00E974B9">
        <w:rPr>
          <w:rFonts w:ascii="Times New Roman" w:hAnsi="Times New Roman"/>
          <w:sz w:val="24"/>
          <w:szCs w:val="24"/>
        </w:rPr>
        <w:t xml:space="preserve">, </w:t>
      </w:r>
      <w:r w:rsidR="00E974B9" w:rsidRPr="00E974B9">
        <w:rPr>
          <w:rFonts w:ascii="Times New Roman" w:hAnsi="Times New Roman"/>
          <w:sz w:val="24"/>
          <w:szCs w:val="24"/>
        </w:rPr>
        <w:t xml:space="preserve">te projekta </w:t>
      </w:r>
      <w:r w:rsidR="00BE695A" w:rsidRPr="00E974B9">
        <w:rPr>
          <w:rFonts w:ascii="Times New Roman" w:hAnsi="Times New Roman"/>
          <w:sz w:val="24"/>
          <w:szCs w:val="24"/>
        </w:rPr>
        <w:t>„</w:t>
      </w:r>
      <w:r w:rsidR="00BE695A" w:rsidRPr="00E974B9">
        <w:rPr>
          <w:rFonts w:ascii="Times New Roman" w:hAnsi="Times New Roman" w:cs="Times New Roman"/>
          <w:sz w:val="24"/>
          <w:szCs w:val="24"/>
          <w:shd w:val="clear" w:color="auto" w:fill="FFFFFF"/>
        </w:rPr>
        <w:t>TOURBO – Usmjeravanje mikro, malih i srednjih poduzetnika (MSP-ova) prema digitalnoj i zelenoj tranziciji u turizmu</w:t>
      </w:r>
      <w:r w:rsidR="00FE7084" w:rsidRPr="00E974B9">
        <w:rPr>
          <w:rFonts w:ascii="Times New Roman" w:hAnsi="Times New Roman" w:cs="Times New Roman"/>
          <w:sz w:val="24"/>
          <w:szCs w:val="24"/>
          <w:shd w:val="clear" w:color="auto" w:fill="FFFFFF"/>
        </w:rPr>
        <w:t>“</w:t>
      </w:r>
      <w:r w:rsidR="00E974B9" w:rsidRPr="00E974B9">
        <w:rPr>
          <w:rFonts w:ascii="Times New Roman" w:hAnsi="Times New Roman" w:cs="Times New Roman"/>
          <w:sz w:val="24"/>
          <w:szCs w:val="24"/>
          <w:shd w:val="clear" w:color="auto" w:fill="FFFFFF"/>
        </w:rPr>
        <w:t>.</w:t>
      </w:r>
    </w:p>
    <w:p w14:paraId="431854A0" w14:textId="77777777" w:rsidR="006E3FEB" w:rsidRPr="00E974B9" w:rsidRDefault="006E3FEB" w:rsidP="00803102">
      <w:pPr>
        <w:spacing w:after="0" w:line="240" w:lineRule="auto"/>
        <w:jc w:val="both"/>
        <w:rPr>
          <w:rFonts w:ascii="Times New Roman" w:hAnsi="Times New Roman" w:cs="Times New Roman"/>
          <w:sz w:val="24"/>
          <w:szCs w:val="24"/>
        </w:rPr>
      </w:pPr>
    </w:p>
    <w:p w14:paraId="7C9C148E" w14:textId="73943953" w:rsidR="00803102" w:rsidRDefault="00E974B9" w:rsidP="00803102">
      <w:pPr>
        <w:spacing w:after="0" w:line="240" w:lineRule="auto"/>
        <w:jc w:val="both"/>
        <w:rPr>
          <w:rFonts w:ascii="Times New Roman" w:hAnsi="Times New Roman"/>
          <w:sz w:val="24"/>
          <w:szCs w:val="24"/>
        </w:rPr>
      </w:pPr>
      <w:r>
        <w:rPr>
          <w:rFonts w:ascii="Times New Roman" w:hAnsi="Times New Roman" w:cs="Times New Roman"/>
          <w:sz w:val="24"/>
          <w:szCs w:val="24"/>
        </w:rPr>
        <w:t>Isto tako,</w:t>
      </w:r>
      <w:r w:rsidR="00803102" w:rsidRPr="00E721E2">
        <w:rPr>
          <w:rFonts w:ascii="Times New Roman" w:hAnsi="Times New Roman" w:cs="Times New Roman"/>
          <w:sz w:val="24"/>
          <w:szCs w:val="24"/>
        </w:rPr>
        <w:t xml:space="preserve"> ostvaren</w:t>
      </w:r>
      <w:r w:rsidR="006E3FEB" w:rsidRPr="00E721E2">
        <w:rPr>
          <w:rFonts w:ascii="Times New Roman" w:hAnsi="Times New Roman"/>
          <w:sz w:val="24"/>
          <w:szCs w:val="24"/>
        </w:rPr>
        <w:t xml:space="preserve">  </w:t>
      </w:r>
      <w:r w:rsidR="00BE695A" w:rsidRPr="00E721E2">
        <w:rPr>
          <w:rFonts w:ascii="Times New Roman" w:hAnsi="Times New Roman"/>
          <w:sz w:val="24"/>
          <w:szCs w:val="24"/>
        </w:rPr>
        <w:t>je</w:t>
      </w:r>
      <w:r>
        <w:rPr>
          <w:rFonts w:ascii="Times New Roman" w:hAnsi="Times New Roman"/>
          <w:sz w:val="24"/>
          <w:szCs w:val="24"/>
        </w:rPr>
        <w:t xml:space="preserve"> i</w:t>
      </w:r>
      <w:r w:rsidR="00BE695A" w:rsidRPr="00E721E2">
        <w:rPr>
          <w:rFonts w:ascii="Times New Roman" w:hAnsi="Times New Roman"/>
          <w:sz w:val="24"/>
          <w:szCs w:val="24"/>
        </w:rPr>
        <w:t xml:space="preserve"> </w:t>
      </w:r>
      <w:r w:rsidR="006E3FEB" w:rsidRPr="00E721E2">
        <w:rPr>
          <w:rFonts w:ascii="Times New Roman" w:hAnsi="Times New Roman"/>
          <w:sz w:val="24"/>
          <w:szCs w:val="24"/>
        </w:rPr>
        <w:t>neznatan prihod od f</w:t>
      </w:r>
      <w:r w:rsidR="00803102" w:rsidRPr="00E721E2">
        <w:rPr>
          <w:rFonts w:ascii="Times New Roman" w:hAnsi="Times New Roman"/>
          <w:sz w:val="24"/>
          <w:szCs w:val="24"/>
        </w:rPr>
        <w:t xml:space="preserve">inancijske imovine u iznosu od </w:t>
      </w:r>
      <w:r w:rsidR="006E3FEB" w:rsidRPr="00E721E2">
        <w:rPr>
          <w:rFonts w:ascii="Times New Roman" w:hAnsi="Times New Roman"/>
          <w:sz w:val="24"/>
          <w:szCs w:val="24"/>
        </w:rPr>
        <w:t>0,2</w:t>
      </w:r>
      <w:r w:rsidR="00363DCA">
        <w:rPr>
          <w:rFonts w:ascii="Times New Roman" w:hAnsi="Times New Roman"/>
          <w:sz w:val="24"/>
          <w:szCs w:val="24"/>
        </w:rPr>
        <w:t>5</w:t>
      </w:r>
      <w:r w:rsidR="006E3FEB" w:rsidRPr="00E721E2">
        <w:rPr>
          <w:rFonts w:ascii="Times New Roman" w:hAnsi="Times New Roman"/>
          <w:sz w:val="24"/>
          <w:szCs w:val="24"/>
        </w:rPr>
        <w:t xml:space="preserve"> eura</w:t>
      </w:r>
      <w:r w:rsidR="00363DCA">
        <w:rPr>
          <w:rFonts w:ascii="Times New Roman" w:hAnsi="Times New Roman"/>
          <w:sz w:val="24"/>
          <w:szCs w:val="24"/>
        </w:rPr>
        <w:t xml:space="preserve"> te prihod od naknade štete s osnova osiguranja u iznosu od 1.146,67 eura.</w:t>
      </w:r>
      <w:r w:rsidR="00803102" w:rsidRPr="00E721E2">
        <w:rPr>
          <w:rFonts w:ascii="Times New Roman" w:hAnsi="Times New Roman"/>
          <w:sz w:val="24"/>
          <w:szCs w:val="24"/>
        </w:rPr>
        <w:t xml:space="preserve"> </w:t>
      </w:r>
    </w:p>
    <w:p w14:paraId="12AADF2A" w14:textId="77777777" w:rsidR="00F120D7" w:rsidRDefault="00F120D7" w:rsidP="00803102">
      <w:pPr>
        <w:spacing w:after="0" w:line="240" w:lineRule="auto"/>
        <w:jc w:val="both"/>
        <w:rPr>
          <w:rFonts w:ascii="Times New Roman" w:hAnsi="Times New Roman"/>
          <w:sz w:val="24"/>
          <w:szCs w:val="24"/>
        </w:rPr>
      </w:pPr>
    </w:p>
    <w:p w14:paraId="0DA3E79B" w14:textId="31AF62D6" w:rsidR="00F120D7" w:rsidRPr="001A1606" w:rsidRDefault="00A330D4" w:rsidP="00803102">
      <w:pPr>
        <w:spacing w:after="0" w:line="240" w:lineRule="auto"/>
        <w:jc w:val="both"/>
        <w:rPr>
          <w:rFonts w:ascii="Times New Roman" w:hAnsi="Times New Roman"/>
          <w:sz w:val="24"/>
          <w:szCs w:val="24"/>
        </w:rPr>
      </w:pPr>
      <w:r w:rsidRPr="001A1606">
        <w:rPr>
          <w:rFonts w:ascii="Times New Roman" w:hAnsi="Times New Roman"/>
          <w:sz w:val="24"/>
          <w:szCs w:val="24"/>
        </w:rPr>
        <w:t xml:space="preserve">Ostvareni prihodi </w:t>
      </w:r>
      <w:r w:rsidR="001A1606" w:rsidRPr="001A1606">
        <w:rPr>
          <w:rFonts w:ascii="Times New Roman" w:hAnsi="Times New Roman"/>
          <w:sz w:val="24"/>
          <w:szCs w:val="24"/>
        </w:rPr>
        <w:t>Razvojne agencije PO</w:t>
      </w:r>
      <w:r w:rsidRPr="001A1606">
        <w:rPr>
          <w:rFonts w:ascii="Times New Roman" w:hAnsi="Times New Roman"/>
          <w:sz w:val="24"/>
          <w:szCs w:val="24"/>
        </w:rPr>
        <w:t xml:space="preserve">RE </w:t>
      </w:r>
      <w:r w:rsidR="001A1606" w:rsidRPr="001A1606">
        <w:rPr>
          <w:rFonts w:ascii="Times New Roman" w:hAnsi="Times New Roman"/>
          <w:sz w:val="24"/>
          <w:szCs w:val="24"/>
        </w:rPr>
        <w:t xml:space="preserve">KKŽ </w:t>
      </w:r>
      <w:r w:rsidRPr="001A1606">
        <w:rPr>
          <w:rFonts w:ascii="Times New Roman" w:hAnsi="Times New Roman"/>
          <w:sz w:val="24"/>
          <w:szCs w:val="24"/>
        </w:rPr>
        <w:t xml:space="preserve">u 2024. godine s osnova provedbe EU projekata iznose 492.362,76 eura odnosno 59,65% ukupno ostvarenih prihoda, dok iz </w:t>
      </w:r>
      <w:r w:rsidR="001A1606">
        <w:rPr>
          <w:rFonts w:ascii="Times New Roman" w:hAnsi="Times New Roman"/>
          <w:sz w:val="24"/>
          <w:szCs w:val="24"/>
        </w:rPr>
        <w:t>P</w:t>
      </w:r>
      <w:r w:rsidRPr="001A1606">
        <w:rPr>
          <w:rFonts w:ascii="Times New Roman" w:hAnsi="Times New Roman"/>
          <w:sz w:val="24"/>
          <w:szCs w:val="24"/>
        </w:rPr>
        <w:t xml:space="preserve">roračuna KKŽ iznose 331.975,82 odnosno 40,21% te ostali prihodi 0,14%. </w:t>
      </w:r>
    </w:p>
    <w:p w14:paraId="07E5D59F" w14:textId="77777777" w:rsidR="00E85B68" w:rsidRDefault="00E85B68" w:rsidP="00803102">
      <w:pPr>
        <w:spacing w:after="0" w:line="240" w:lineRule="auto"/>
        <w:jc w:val="both"/>
        <w:rPr>
          <w:rFonts w:ascii="Times New Roman" w:hAnsi="Times New Roman"/>
          <w:sz w:val="24"/>
          <w:szCs w:val="24"/>
        </w:rPr>
      </w:pPr>
    </w:p>
    <w:p w14:paraId="7C9E6C58" w14:textId="77777777" w:rsidR="001F32DC" w:rsidRDefault="001F32DC" w:rsidP="00803102">
      <w:pPr>
        <w:spacing w:after="0" w:line="240" w:lineRule="auto"/>
        <w:jc w:val="both"/>
        <w:rPr>
          <w:rFonts w:ascii="Times New Roman" w:hAnsi="Times New Roman"/>
          <w:sz w:val="24"/>
          <w:szCs w:val="24"/>
        </w:rPr>
      </w:pPr>
    </w:p>
    <w:p w14:paraId="5AC71E07" w14:textId="77777777" w:rsidR="00F120D7" w:rsidRDefault="00F120D7" w:rsidP="00803102">
      <w:pPr>
        <w:spacing w:after="0" w:line="240" w:lineRule="auto"/>
        <w:jc w:val="both"/>
        <w:rPr>
          <w:rFonts w:ascii="Times New Roman" w:hAnsi="Times New Roman"/>
          <w:sz w:val="24"/>
          <w:szCs w:val="24"/>
        </w:rPr>
      </w:pPr>
    </w:p>
    <w:p w14:paraId="2CE1CE12" w14:textId="77777777" w:rsidR="00F120D7" w:rsidRDefault="00F120D7" w:rsidP="00803102">
      <w:pPr>
        <w:spacing w:after="0" w:line="240" w:lineRule="auto"/>
        <w:jc w:val="both"/>
        <w:rPr>
          <w:rFonts w:ascii="Times New Roman" w:hAnsi="Times New Roman"/>
          <w:sz w:val="24"/>
          <w:szCs w:val="24"/>
        </w:rPr>
      </w:pPr>
    </w:p>
    <w:p w14:paraId="704A88D6" w14:textId="5CDEA356" w:rsidR="00D57D12" w:rsidRDefault="006E3FEB" w:rsidP="00803102">
      <w:pPr>
        <w:spacing w:after="0" w:line="240" w:lineRule="auto"/>
        <w:ind w:left="-567"/>
        <w:rPr>
          <w:rFonts w:ascii="Times New Roman" w:hAnsi="Times New Roman" w:cs="Times New Roman"/>
          <w:sz w:val="24"/>
          <w:szCs w:val="24"/>
        </w:rPr>
      </w:pPr>
      <w:r w:rsidRPr="00E721E2">
        <w:rPr>
          <w:rFonts w:ascii="Times New Roman" w:hAnsi="Times New Roman" w:cs="Times New Roman"/>
          <w:sz w:val="24"/>
          <w:szCs w:val="24"/>
        </w:rPr>
        <w:lastRenderedPageBreak/>
        <w:t>T</w:t>
      </w:r>
      <w:r w:rsidR="00803102" w:rsidRPr="00E721E2">
        <w:rPr>
          <w:rFonts w:ascii="Times New Roman" w:hAnsi="Times New Roman" w:cs="Times New Roman"/>
          <w:sz w:val="24"/>
          <w:szCs w:val="24"/>
        </w:rPr>
        <w:t xml:space="preserve">ablica </w:t>
      </w:r>
      <w:r w:rsidR="00413EE5">
        <w:rPr>
          <w:rFonts w:ascii="Times New Roman" w:hAnsi="Times New Roman" w:cs="Times New Roman"/>
          <w:sz w:val="24"/>
          <w:szCs w:val="24"/>
        </w:rPr>
        <w:t>2</w:t>
      </w:r>
      <w:r w:rsidR="00803102" w:rsidRPr="00E721E2">
        <w:rPr>
          <w:rFonts w:ascii="Times New Roman" w:hAnsi="Times New Roman" w:cs="Times New Roman"/>
          <w:sz w:val="24"/>
          <w:szCs w:val="24"/>
        </w:rPr>
        <w:t xml:space="preserve">. Prikaz prihoda prema strukturi </w:t>
      </w:r>
      <w:r w:rsidR="0073520D" w:rsidRPr="00E721E2">
        <w:rPr>
          <w:rFonts w:ascii="Times New Roman" w:hAnsi="Times New Roman" w:cs="Times New Roman"/>
          <w:sz w:val="24"/>
          <w:szCs w:val="24"/>
        </w:rPr>
        <w:t>financiranja</w:t>
      </w:r>
    </w:p>
    <w:tbl>
      <w:tblPr>
        <w:tblStyle w:val="TableGrid"/>
        <w:tblW w:w="10202" w:type="dxa"/>
        <w:jc w:val="center"/>
        <w:tblLayout w:type="fixed"/>
        <w:tblLook w:val="04A0" w:firstRow="1" w:lastRow="0" w:firstColumn="1" w:lastColumn="0" w:noHBand="0" w:noVBand="1"/>
      </w:tblPr>
      <w:tblGrid>
        <w:gridCol w:w="2127"/>
        <w:gridCol w:w="1412"/>
        <w:gridCol w:w="1559"/>
        <w:gridCol w:w="1418"/>
        <w:gridCol w:w="1134"/>
        <w:gridCol w:w="1276"/>
        <w:gridCol w:w="1276"/>
      </w:tblGrid>
      <w:tr w:rsidR="00803102" w:rsidRPr="00E721E2" w14:paraId="0FAC7E40" w14:textId="77777777" w:rsidTr="0018785A">
        <w:trPr>
          <w:jc w:val="center"/>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9868E"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PRIHODI</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2BC981" w14:textId="066C8DAC"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Izvršenje 202</w:t>
            </w:r>
            <w:r w:rsidR="00C525DF" w:rsidRPr="00E721E2">
              <w:rPr>
                <w:rFonts w:ascii="Times New Roman" w:hAnsi="Times New Roman" w:cs="Times New Roman"/>
                <w:b/>
                <w:lang w:val="hr-HR"/>
              </w:rPr>
              <w:t>3</w:t>
            </w:r>
            <w:r w:rsidRPr="00E721E2">
              <w:rPr>
                <w:rFonts w:ascii="Times New Roman" w:hAnsi="Times New Roman" w:cs="Times New Roman"/>
                <w:b/>
                <w:lang w:val="hr-HR"/>
              </w:rPr>
              <w:t>.</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5BDE447C"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Izvorni plan za proračunsku godinu</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F63517" w14:textId="1207C6F0" w:rsidR="00803102" w:rsidRPr="00E721E2" w:rsidRDefault="00803102" w:rsidP="00C15CC1">
            <w:pPr>
              <w:jc w:val="center"/>
              <w:rPr>
                <w:rFonts w:ascii="Times New Roman" w:hAnsi="Times New Roman" w:cs="Times New Roman"/>
                <w:lang w:val="hr-HR"/>
              </w:rPr>
            </w:pPr>
            <w:r w:rsidRPr="00E721E2">
              <w:rPr>
                <w:rFonts w:ascii="Times New Roman" w:hAnsi="Times New Roman" w:cs="Times New Roman"/>
                <w:b/>
                <w:lang w:val="hr-HR"/>
              </w:rPr>
              <w:t>Izvršenje 202</w:t>
            </w:r>
            <w:r w:rsidR="00C525DF" w:rsidRPr="00E721E2">
              <w:rPr>
                <w:rFonts w:ascii="Times New Roman" w:hAnsi="Times New Roman" w:cs="Times New Roman"/>
                <w:b/>
                <w:lang w:val="hr-HR"/>
              </w:rPr>
              <w:t>4</w:t>
            </w:r>
            <w:r w:rsidRPr="00E721E2">
              <w:rPr>
                <w:rFonts w:ascii="Times New Roman" w:hAnsi="Times New Roman" w:cs="Times New Roman"/>
                <w:b/>
                <w:lang w:val="hr-HR"/>
              </w:rPr>
              <w: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5FB0B7"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Indeks</w:t>
            </w:r>
          </w:p>
          <w:p w14:paraId="2A0B0B9D"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 xml:space="preserve"> 4/2</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C9432E"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 xml:space="preserve">Indeks </w:t>
            </w:r>
          </w:p>
          <w:p w14:paraId="3822F794"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4/3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080C7A0"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 xml:space="preserve">Struktura ostvarenih prihoda </w:t>
            </w:r>
          </w:p>
          <w:p w14:paraId="57771D51" w14:textId="540DC6CB"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202</w:t>
            </w:r>
            <w:r w:rsidR="00C525DF" w:rsidRPr="00E721E2">
              <w:rPr>
                <w:rFonts w:ascii="Times New Roman" w:hAnsi="Times New Roman" w:cs="Times New Roman"/>
                <w:b/>
                <w:lang w:val="hr-HR"/>
              </w:rPr>
              <w:t>4</w:t>
            </w:r>
            <w:r w:rsidRPr="00E721E2">
              <w:rPr>
                <w:rFonts w:ascii="Times New Roman" w:hAnsi="Times New Roman" w:cs="Times New Roman"/>
                <w:b/>
                <w:lang w:val="hr-HR"/>
              </w:rPr>
              <w:t>.</w:t>
            </w:r>
          </w:p>
        </w:tc>
      </w:tr>
      <w:tr w:rsidR="00803102" w:rsidRPr="00E721E2" w14:paraId="1C456032"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41E36"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1</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E9F6"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7753B"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943CE"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62B1AD7"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7E40"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5366B" w14:textId="77777777" w:rsidR="00803102" w:rsidRPr="00E721E2" w:rsidRDefault="00803102" w:rsidP="00C15CC1">
            <w:pPr>
              <w:jc w:val="center"/>
              <w:rPr>
                <w:rFonts w:ascii="Times New Roman" w:hAnsi="Times New Roman" w:cs="Times New Roman"/>
                <w:b/>
                <w:lang w:val="hr-HR"/>
              </w:rPr>
            </w:pPr>
            <w:r w:rsidRPr="00E721E2">
              <w:rPr>
                <w:rFonts w:ascii="Times New Roman" w:hAnsi="Times New Roman" w:cs="Times New Roman"/>
                <w:b/>
                <w:lang w:val="hr-HR"/>
              </w:rPr>
              <w:t>7</w:t>
            </w:r>
          </w:p>
        </w:tc>
      </w:tr>
      <w:tr w:rsidR="00803102" w:rsidRPr="00E721E2" w14:paraId="3FF13526"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hideMark/>
          </w:tcPr>
          <w:p w14:paraId="2C880FEB" w14:textId="77777777" w:rsidR="00803102" w:rsidRPr="00E721E2" w:rsidRDefault="00803102" w:rsidP="00C15CC1">
            <w:pPr>
              <w:rPr>
                <w:rFonts w:ascii="Times New Roman" w:hAnsi="Times New Roman" w:cs="Times New Roman"/>
                <w:b/>
                <w:lang w:val="hr-HR"/>
              </w:rPr>
            </w:pPr>
            <w:r w:rsidRPr="00E721E2">
              <w:rPr>
                <w:rFonts w:ascii="Times New Roman" w:hAnsi="Times New Roman" w:cs="Times New Roman"/>
                <w:b/>
                <w:lang w:val="hr-HR"/>
              </w:rPr>
              <w:t>1. PRORAČUN KKŽ</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AD77539" w14:textId="57C01D92" w:rsidR="00803102" w:rsidRPr="00E721E2" w:rsidRDefault="00363DCA" w:rsidP="00C15CC1">
            <w:pPr>
              <w:jc w:val="right"/>
              <w:rPr>
                <w:rFonts w:ascii="Times New Roman" w:hAnsi="Times New Roman" w:cs="Times New Roman"/>
                <w:b/>
                <w:bCs/>
                <w:lang w:val="hr-HR"/>
              </w:rPr>
            </w:pPr>
            <w:r>
              <w:rPr>
                <w:rFonts w:ascii="Times New Roman" w:hAnsi="Times New Roman" w:cs="Times New Roman"/>
                <w:b/>
                <w:bCs/>
                <w:lang w:val="hr-HR"/>
              </w:rPr>
              <w:t>295.662,90</w:t>
            </w:r>
          </w:p>
        </w:tc>
        <w:tc>
          <w:tcPr>
            <w:tcW w:w="1559" w:type="dxa"/>
            <w:tcBorders>
              <w:top w:val="single" w:sz="4" w:space="0" w:color="auto"/>
              <w:left w:val="single" w:sz="4" w:space="0" w:color="auto"/>
              <w:bottom w:val="single" w:sz="4" w:space="0" w:color="auto"/>
              <w:right w:val="single" w:sz="4" w:space="0" w:color="auto"/>
            </w:tcBorders>
            <w:vAlign w:val="center"/>
          </w:tcPr>
          <w:p w14:paraId="36B8F728" w14:textId="422739E9" w:rsidR="00803102" w:rsidRPr="00E721E2" w:rsidRDefault="00363DCA" w:rsidP="00C15CC1">
            <w:pPr>
              <w:jc w:val="right"/>
              <w:rPr>
                <w:rFonts w:ascii="Times New Roman" w:hAnsi="Times New Roman" w:cs="Times New Roman"/>
                <w:b/>
                <w:bCs/>
                <w:color w:val="FF0000"/>
                <w:lang w:val="hr-HR"/>
              </w:rPr>
            </w:pPr>
            <w:r>
              <w:rPr>
                <w:rFonts w:ascii="Times New Roman" w:hAnsi="Times New Roman" w:cs="Times New Roman"/>
                <w:b/>
                <w:bCs/>
                <w:lang w:val="hr-HR"/>
              </w:rPr>
              <w:t>402</w:t>
            </w:r>
            <w:r w:rsidR="00946FC9" w:rsidRPr="00E721E2">
              <w:rPr>
                <w:rFonts w:ascii="Times New Roman" w:hAnsi="Times New Roman" w:cs="Times New Roman"/>
                <w:b/>
                <w:bCs/>
                <w:lang w:val="hr-HR"/>
              </w:rPr>
              <w:t>.918</w:t>
            </w:r>
            <w:r w:rsidR="00803102" w:rsidRPr="00E721E2">
              <w:rPr>
                <w:rFonts w:ascii="Times New Roman" w:hAnsi="Times New Roman" w:cs="Times New Roman"/>
                <w:b/>
                <w:bCs/>
                <w:lang w:val="hr-HR"/>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E7F49" w14:textId="6C003A38" w:rsidR="00803102" w:rsidRPr="00E721E2" w:rsidRDefault="00363DCA" w:rsidP="00C15CC1">
            <w:pPr>
              <w:jc w:val="right"/>
              <w:rPr>
                <w:rFonts w:ascii="Times New Roman" w:hAnsi="Times New Roman" w:cs="Times New Roman"/>
                <w:b/>
                <w:bCs/>
                <w:lang w:val="hr-HR"/>
              </w:rPr>
            </w:pPr>
            <w:r>
              <w:rPr>
                <w:rFonts w:ascii="Times New Roman" w:hAnsi="Times New Roman" w:cs="Times New Roman"/>
                <w:b/>
                <w:bCs/>
                <w:lang w:val="hr-HR"/>
              </w:rPr>
              <w:t>331.</w:t>
            </w:r>
            <w:r w:rsidR="00D601DE">
              <w:rPr>
                <w:rFonts w:ascii="Times New Roman" w:hAnsi="Times New Roman" w:cs="Times New Roman"/>
                <w:b/>
                <w:bCs/>
                <w:lang w:val="hr-HR"/>
              </w:rPr>
              <w:t>975</w:t>
            </w:r>
            <w:r>
              <w:rPr>
                <w:rFonts w:ascii="Times New Roman" w:hAnsi="Times New Roman" w:cs="Times New Roman"/>
                <w:b/>
                <w:bCs/>
                <w:lang w:val="hr-HR"/>
              </w:rPr>
              <w:t>,82</w:t>
            </w:r>
          </w:p>
        </w:tc>
        <w:tc>
          <w:tcPr>
            <w:tcW w:w="1134" w:type="dxa"/>
            <w:tcBorders>
              <w:top w:val="single" w:sz="4" w:space="0" w:color="auto"/>
              <w:left w:val="single" w:sz="4" w:space="0" w:color="auto"/>
              <w:bottom w:val="single" w:sz="4" w:space="0" w:color="auto"/>
              <w:right w:val="single" w:sz="4" w:space="0" w:color="auto"/>
            </w:tcBorders>
            <w:vAlign w:val="center"/>
          </w:tcPr>
          <w:p w14:paraId="089617D9" w14:textId="35DEFAC5" w:rsidR="00803102" w:rsidRPr="00AC41C6" w:rsidRDefault="00AC41C6" w:rsidP="00C15CC1">
            <w:pPr>
              <w:jc w:val="right"/>
              <w:rPr>
                <w:rFonts w:ascii="Times New Roman" w:hAnsi="Times New Roman" w:cs="Times New Roman"/>
                <w:b/>
                <w:bCs/>
                <w:lang w:val="hr-HR"/>
              </w:rPr>
            </w:pPr>
            <w:r w:rsidRPr="00AC41C6">
              <w:rPr>
                <w:rFonts w:ascii="Times New Roman" w:hAnsi="Times New Roman" w:cs="Times New Roman"/>
                <w:b/>
                <w:bCs/>
                <w:lang w:val="hr-HR"/>
              </w:rPr>
              <w:t>11</w:t>
            </w:r>
            <w:r w:rsidR="00D601DE">
              <w:rPr>
                <w:rFonts w:ascii="Times New Roman" w:hAnsi="Times New Roman" w:cs="Times New Roman"/>
                <w:b/>
                <w:bCs/>
                <w:lang w:val="hr-HR"/>
              </w:rPr>
              <w:t>2,28</w:t>
            </w:r>
            <w:r w:rsidR="00803102" w:rsidRPr="00AC41C6">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1D8AEC" w14:textId="3EEFE897" w:rsidR="00803102" w:rsidRPr="00AC41C6" w:rsidRDefault="00D601DE" w:rsidP="00C15CC1">
            <w:pPr>
              <w:jc w:val="right"/>
              <w:rPr>
                <w:rFonts w:ascii="Times New Roman" w:hAnsi="Times New Roman" w:cs="Times New Roman"/>
                <w:b/>
                <w:bCs/>
                <w:lang w:val="hr-HR"/>
              </w:rPr>
            </w:pPr>
            <w:r>
              <w:rPr>
                <w:rFonts w:ascii="Times New Roman" w:hAnsi="Times New Roman" w:cs="Times New Roman"/>
                <w:b/>
                <w:bCs/>
                <w:lang w:val="hr-HR"/>
              </w:rPr>
              <w:t>82,39</w:t>
            </w:r>
            <w:r w:rsidR="00803102" w:rsidRPr="00AC41C6">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65671DDB" w14:textId="128ABE17" w:rsidR="00803102" w:rsidRPr="00363DCA" w:rsidRDefault="00D57D12" w:rsidP="00C15CC1">
            <w:pPr>
              <w:jc w:val="right"/>
              <w:rPr>
                <w:rFonts w:ascii="Times New Roman" w:hAnsi="Times New Roman" w:cs="Times New Roman"/>
                <w:b/>
                <w:bCs/>
                <w:highlight w:val="yellow"/>
                <w:lang w:val="hr-HR"/>
              </w:rPr>
            </w:pPr>
            <w:r w:rsidRPr="00D57D12">
              <w:rPr>
                <w:rFonts w:ascii="Times New Roman" w:hAnsi="Times New Roman" w:cs="Times New Roman"/>
                <w:b/>
                <w:bCs/>
                <w:lang w:val="hr-HR"/>
              </w:rPr>
              <w:t>40,</w:t>
            </w:r>
            <w:r w:rsidR="00D601DE">
              <w:rPr>
                <w:rFonts w:ascii="Times New Roman" w:hAnsi="Times New Roman" w:cs="Times New Roman"/>
                <w:b/>
                <w:bCs/>
                <w:lang w:val="hr-HR"/>
              </w:rPr>
              <w:t>21</w:t>
            </w:r>
            <w:r w:rsidR="00803102" w:rsidRPr="00D57D12">
              <w:rPr>
                <w:rFonts w:ascii="Times New Roman" w:hAnsi="Times New Roman" w:cs="Times New Roman"/>
                <w:b/>
                <w:bCs/>
                <w:lang w:val="hr-HR"/>
              </w:rPr>
              <w:t>%</w:t>
            </w:r>
          </w:p>
        </w:tc>
      </w:tr>
      <w:tr w:rsidR="00803102" w:rsidRPr="00E721E2" w14:paraId="78B1659E"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hideMark/>
          </w:tcPr>
          <w:p w14:paraId="2390C8E6" w14:textId="77777777" w:rsidR="00803102" w:rsidRPr="00E721E2" w:rsidRDefault="00803102" w:rsidP="00C15CC1">
            <w:pPr>
              <w:rPr>
                <w:rFonts w:ascii="Times New Roman" w:hAnsi="Times New Roman" w:cs="Times New Roman"/>
                <w:bCs/>
                <w:lang w:val="hr-HR"/>
              </w:rPr>
            </w:pPr>
            <w:r w:rsidRPr="00E721E2">
              <w:rPr>
                <w:rFonts w:ascii="Times New Roman" w:hAnsi="Times New Roman" w:cs="Times New Roman"/>
                <w:bCs/>
                <w:lang w:val="hr-HR"/>
              </w:rPr>
              <w:t xml:space="preserve">1.1. Proračun KKŽ – redovno        poslovanje i sufinanciranje EU </w:t>
            </w:r>
            <w:r w:rsidRPr="00E721E2">
              <w:rPr>
                <w:rFonts w:ascii="Times New Roman" w:hAnsi="Times New Roman" w:cs="Times New Roman"/>
                <w:bCs/>
                <w:lang w:val="hr-HR"/>
              </w:rPr>
              <w:br/>
              <w:t>projekata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477EE15" w14:textId="1AD846DF" w:rsidR="00803102" w:rsidRPr="00E721E2" w:rsidRDefault="00363DCA" w:rsidP="00C15CC1">
            <w:pPr>
              <w:jc w:val="right"/>
              <w:rPr>
                <w:rFonts w:ascii="Times New Roman" w:hAnsi="Times New Roman" w:cs="Times New Roman"/>
                <w:lang w:val="hr-HR"/>
              </w:rPr>
            </w:pPr>
            <w:r>
              <w:rPr>
                <w:rFonts w:ascii="Times New Roman" w:hAnsi="Times New Roman" w:cs="Times New Roman"/>
                <w:lang w:val="hr-HR"/>
              </w:rPr>
              <w:t>238.135,03</w:t>
            </w:r>
          </w:p>
        </w:tc>
        <w:tc>
          <w:tcPr>
            <w:tcW w:w="1559" w:type="dxa"/>
            <w:tcBorders>
              <w:top w:val="single" w:sz="4" w:space="0" w:color="auto"/>
              <w:left w:val="single" w:sz="4" w:space="0" w:color="auto"/>
              <w:bottom w:val="single" w:sz="4" w:space="0" w:color="auto"/>
              <w:right w:val="single" w:sz="4" w:space="0" w:color="auto"/>
            </w:tcBorders>
            <w:vAlign w:val="center"/>
          </w:tcPr>
          <w:p w14:paraId="07F55CE5" w14:textId="38CB6D72" w:rsidR="00803102" w:rsidRPr="00E721E2" w:rsidRDefault="00363DCA" w:rsidP="00C15CC1">
            <w:pPr>
              <w:jc w:val="right"/>
              <w:rPr>
                <w:rFonts w:ascii="Times New Roman" w:hAnsi="Times New Roman" w:cs="Times New Roman"/>
                <w:lang w:val="hr-HR"/>
              </w:rPr>
            </w:pPr>
            <w:r>
              <w:rPr>
                <w:rFonts w:ascii="Times New Roman" w:hAnsi="Times New Roman" w:cs="Times New Roman"/>
                <w:lang w:val="hr-HR"/>
              </w:rPr>
              <w:t>309.638</w:t>
            </w:r>
            <w:r w:rsidR="00803102" w:rsidRPr="00E721E2">
              <w:rPr>
                <w:rFonts w:ascii="Times New Roman" w:hAnsi="Times New Roman" w:cs="Times New Roman"/>
                <w:lang w:val="hr-HR"/>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978AF" w14:textId="668C0AE0" w:rsidR="00803102" w:rsidRPr="00E721E2" w:rsidRDefault="00363DCA" w:rsidP="00C15CC1">
            <w:pPr>
              <w:jc w:val="right"/>
              <w:rPr>
                <w:rFonts w:ascii="Times New Roman" w:hAnsi="Times New Roman" w:cs="Times New Roman"/>
                <w:lang w:val="hr-HR"/>
              </w:rPr>
            </w:pPr>
            <w:r>
              <w:rPr>
                <w:rFonts w:ascii="Times New Roman" w:hAnsi="Times New Roman" w:cs="Times New Roman"/>
                <w:lang w:val="hr-HR"/>
              </w:rPr>
              <w:t>282.081,90</w:t>
            </w:r>
          </w:p>
        </w:tc>
        <w:tc>
          <w:tcPr>
            <w:tcW w:w="1134" w:type="dxa"/>
            <w:tcBorders>
              <w:top w:val="single" w:sz="4" w:space="0" w:color="auto"/>
              <w:left w:val="single" w:sz="4" w:space="0" w:color="auto"/>
              <w:bottom w:val="single" w:sz="4" w:space="0" w:color="auto"/>
              <w:right w:val="single" w:sz="4" w:space="0" w:color="auto"/>
            </w:tcBorders>
            <w:vAlign w:val="center"/>
          </w:tcPr>
          <w:p w14:paraId="7F97B3F4" w14:textId="5282F358" w:rsidR="00803102" w:rsidRPr="00AC41C6" w:rsidRDefault="00AC41C6" w:rsidP="00C15CC1">
            <w:pPr>
              <w:jc w:val="right"/>
              <w:rPr>
                <w:rFonts w:ascii="Times New Roman" w:hAnsi="Times New Roman" w:cs="Times New Roman"/>
                <w:lang w:val="hr-HR"/>
              </w:rPr>
            </w:pPr>
            <w:r w:rsidRPr="00AC41C6">
              <w:rPr>
                <w:rFonts w:ascii="Times New Roman" w:hAnsi="Times New Roman" w:cs="Times New Roman"/>
                <w:lang w:val="hr-HR"/>
              </w:rPr>
              <w:t>118,45</w:t>
            </w:r>
            <w:r w:rsidR="00803102" w:rsidRPr="00AC41C6">
              <w:rPr>
                <w:rFonts w:ascii="Times New Roman" w:hAnsi="Times New Roman" w:cs="Times New Roman"/>
                <w:lang w:val="hr-H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DF8482" w14:textId="27812082" w:rsidR="00803102" w:rsidRPr="00AC41C6" w:rsidRDefault="00AC41C6" w:rsidP="00C15CC1">
            <w:pPr>
              <w:jc w:val="right"/>
              <w:rPr>
                <w:rFonts w:ascii="Times New Roman" w:hAnsi="Times New Roman" w:cs="Times New Roman"/>
                <w:lang w:val="hr-HR"/>
              </w:rPr>
            </w:pPr>
            <w:r w:rsidRPr="00AC41C6">
              <w:rPr>
                <w:rFonts w:ascii="Times New Roman" w:hAnsi="Times New Roman" w:cs="Times New Roman"/>
                <w:lang w:val="hr-HR"/>
              </w:rPr>
              <w:t>91,10</w:t>
            </w:r>
            <w:r w:rsidR="00803102" w:rsidRPr="00AC41C6">
              <w:rPr>
                <w:rFonts w:ascii="Times New Roman" w:hAnsi="Times New Roman" w:cs="Times New Roman"/>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0EEB6C96" w14:textId="17EC21BB" w:rsidR="00803102" w:rsidRPr="00363DCA" w:rsidRDefault="00D57D12" w:rsidP="00C15CC1">
            <w:pPr>
              <w:jc w:val="right"/>
              <w:rPr>
                <w:rFonts w:ascii="Times New Roman" w:hAnsi="Times New Roman" w:cs="Times New Roman"/>
                <w:highlight w:val="yellow"/>
                <w:lang w:val="hr-HR"/>
              </w:rPr>
            </w:pPr>
            <w:r w:rsidRPr="00D57D12">
              <w:rPr>
                <w:rFonts w:ascii="Times New Roman" w:hAnsi="Times New Roman" w:cs="Times New Roman"/>
                <w:lang w:val="hr-HR"/>
              </w:rPr>
              <w:t>34,17</w:t>
            </w:r>
            <w:r w:rsidR="00803102" w:rsidRPr="00D57D12">
              <w:rPr>
                <w:rFonts w:ascii="Times New Roman" w:hAnsi="Times New Roman" w:cs="Times New Roman"/>
                <w:lang w:val="hr-HR"/>
              </w:rPr>
              <w:t>%</w:t>
            </w:r>
          </w:p>
        </w:tc>
      </w:tr>
      <w:tr w:rsidR="00803102" w:rsidRPr="00E721E2" w14:paraId="63717B7E"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tcPr>
          <w:p w14:paraId="48946844" w14:textId="06A443F1" w:rsidR="00803102" w:rsidRPr="00E721E2" w:rsidRDefault="00803102" w:rsidP="00C15CC1">
            <w:pPr>
              <w:rPr>
                <w:rFonts w:ascii="Times New Roman" w:hAnsi="Times New Roman" w:cs="Times New Roman"/>
                <w:bCs/>
                <w:lang w:val="hr-HR"/>
              </w:rPr>
            </w:pPr>
            <w:r w:rsidRPr="00E721E2">
              <w:rPr>
                <w:rFonts w:ascii="Times New Roman" w:hAnsi="Times New Roman" w:cs="Times New Roman"/>
                <w:bCs/>
                <w:lang w:val="hr-HR"/>
              </w:rPr>
              <w:t>1.9. Proračun KKŽ – predfinanciranje EU projek</w:t>
            </w:r>
            <w:r w:rsidR="001322D9" w:rsidRPr="00E721E2">
              <w:rPr>
                <w:rFonts w:ascii="Times New Roman" w:hAnsi="Times New Roman" w:cs="Times New Roman"/>
                <w:bCs/>
                <w:lang w:val="hr-HR"/>
              </w:rPr>
              <w:t>a</w:t>
            </w:r>
            <w:r w:rsidRPr="00E721E2">
              <w:rPr>
                <w:rFonts w:ascii="Times New Roman" w:hAnsi="Times New Roman" w:cs="Times New Roman"/>
                <w:bCs/>
                <w:lang w:val="hr-HR"/>
              </w:rPr>
              <w:t xml:space="preserve">ta </w:t>
            </w:r>
          </w:p>
        </w:tc>
        <w:tc>
          <w:tcPr>
            <w:tcW w:w="1412" w:type="dxa"/>
            <w:tcBorders>
              <w:top w:val="single" w:sz="4" w:space="0" w:color="auto"/>
              <w:left w:val="single" w:sz="4" w:space="0" w:color="auto"/>
              <w:bottom w:val="single" w:sz="4" w:space="0" w:color="auto"/>
              <w:right w:val="single" w:sz="4" w:space="0" w:color="auto"/>
            </w:tcBorders>
            <w:vAlign w:val="center"/>
          </w:tcPr>
          <w:p w14:paraId="0070DAF0" w14:textId="2C2BCCD0" w:rsidR="00803102" w:rsidRPr="00E721E2" w:rsidRDefault="00363DCA" w:rsidP="00C15CC1">
            <w:pPr>
              <w:jc w:val="right"/>
              <w:rPr>
                <w:rFonts w:ascii="Times New Roman" w:hAnsi="Times New Roman" w:cs="Times New Roman"/>
                <w:lang w:val="hr-HR"/>
              </w:rPr>
            </w:pPr>
            <w:r>
              <w:rPr>
                <w:rFonts w:ascii="Times New Roman" w:hAnsi="Times New Roman" w:cs="Times New Roman"/>
                <w:lang w:val="hr-HR"/>
              </w:rPr>
              <w:t>57.527,87</w:t>
            </w:r>
          </w:p>
        </w:tc>
        <w:tc>
          <w:tcPr>
            <w:tcW w:w="1559" w:type="dxa"/>
            <w:tcBorders>
              <w:top w:val="single" w:sz="4" w:space="0" w:color="auto"/>
              <w:left w:val="single" w:sz="4" w:space="0" w:color="auto"/>
              <w:bottom w:val="single" w:sz="4" w:space="0" w:color="auto"/>
              <w:right w:val="single" w:sz="4" w:space="0" w:color="auto"/>
            </w:tcBorders>
            <w:vAlign w:val="center"/>
          </w:tcPr>
          <w:p w14:paraId="048BE1B0" w14:textId="0FA03BAA" w:rsidR="00803102" w:rsidRPr="00E721E2" w:rsidRDefault="007C408F" w:rsidP="00C15CC1">
            <w:pPr>
              <w:jc w:val="right"/>
              <w:rPr>
                <w:rFonts w:ascii="Times New Roman" w:hAnsi="Times New Roman" w:cs="Times New Roman"/>
                <w:lang w:val="hr-HR"/>
              </w:rPr>
            </w:pPr>
            <w:r w:rsidRPr="00E721E2">
              <w:rPr>
                <w:rFonts w:ascii="Times New Roman" w:hAnsi="Times New Roman" w:cs="Times New Roman"/>
                <w:lang w:val="hr-HR"/>
              </w:rPr>
              <w:t>93.280</w:t>
            </w:r>
            <w:r w:rsidR="00803102" w:rsidRPr="00E721E2">
              <w:rPr>
                <w:rFonts w:ascii="Times New Roman" w:hAnsi="Times New Roman" w:cs="Times New Roman"/>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55DCEC5" w14:textId="503E11EE" w:rsidR="00803102" w:rsidRPr="00E721E2" w:rsidRDefault="00363DCA" w:rsidP="00C15CC1">
            <w:pPr>
              <w:jc w:val="right"/>
              <w:rPr>
                <w:rFonts w:ascii="Times New Roman" w:hAnsi="Times New Roman" w:cs="Times New Roman"/>
                <w:lang w:val="hr-HR"/>
              </w:rPr>
            </w:pPr>
            <w:r>
              <w:rPr>
                <w:rFonts w:ascii="Times New Roman" w:hAnsi="Times New Roman" w:cs="Times New Roman"/>
                <w:lang w:val="hr-HR"/>
              </w:rPr>
              <w:t>49.893,92</w:t>
            </w:r>
          </w:p>
        </w:tc>
        <w:tc>
          <w:tcPr>
            <w:tcW w:w="1134" w:type="dxa"/>
            <w:tcBorders>
              <w:top w:val="single" w:sz="4" w:space="0" w:color="auto"/>
              <w:left w:val="single" w:sz="4" w:space="0" w:color="auto"/>
              <w:bottom w:val="single" w:sz="4" w:space="0" w:color="auto"/>
              <w:right w:val="single" w:sz="4" w:space="0" w:color="auto"/>
            </w:tcBorders>
            <w:vAlign w:val="center"/>
          </w:tcPr>
          <w:p w14:paraId="7AD21285" w14:textId="0C64A932" w:rsidR="00803102" w:rsidRPr="00AC41C6" w:rsidRDefault="00AC41C6" w:rsidP="00C15CC1">
            <w:pPr>
              <w:jc w:val="right"/>
              <w:rPr>
                <w:rFonts w:ascii="Times New Roman" w:hAnsi="Times New Roman" w:cs="Times New Roman"/>
                <w:lang w:val="hr-HR"/>
              </w:rPr>
            </w:pPr>
            <w:r w:rsidRPr="00AC41C6">
              <w:rPr>
                <w:rFonts w:ascii="Times New Roman" w:hAnsi="Times New Roman" w:cs="Times New Roman"/>
                <w:lang w:val="hr-HR"/>
              </w:rPr>
              <w:t>86,73</w:t>
            </w:r>
            <w:r w:rsidR="00803102" w:rsidRPr="00AC41C6">
              <w:rPr>
                <w:rFonts w:ascii="Times New Roman" w:hAnsi="Times New Roman" w:cs="Times New Roman"/>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D66A9" w14:textId="233DE216" w:rsidR="00803102" w:rsidRPr="00AC41C6" w:rsidRDefault="00AC41C6" w:rsidP="00C15CC1">
            <w:pPr>
              <w:jc w:val="right"/>
              <w:rPr>
                <w:rFonts w:ascii="Times New Roman" w:hAnsi="Times New Roman" w:cs="Times New Roman"/>
                <w:lang w:val="hr-HR"/>
              </w:rPr>
            </w:pPr>
            <w:r w:rsidRPr="00AC41C6">
              <w:rPr>
                <w:rFonts w:ascii="Times New Roman" w:hAnsi="Times New Roman" w:cs="Times New Roman"/>
                <w:lang w:val="hr-HR"/>
              </w:rPr>
              <w:t>53,49</w:t>
            </w:r>
            <w:r w:rsidR="00803102" w:rsidRPr="00AC41C6">
              <w:rPr>
                <w:rFonts w:ascii="Times New Roman" w:hAnsi="Times New Roman" w:cs="Times New Roman"/>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33411939" w14:textId="4D76CC13" w:rsidR="00273162" w:rsidRPr="00363DCA" w:rsidRDefault="00D57D12" w:rsidP="00C665F8">
            <w:pPr>
              <w:jc w:val="right"/>
              <w:rPr>
                <w:rFonts w:ascii="Times New Roman" w:hAnsi="Times New Roman" w:cs="Times New Roman"/>
                <w:highlight w:val="yellow"/>
                <w:lang w:val="hr-HR"/>
              </w:rPr>
            </w:pPr>
            <w:r w:rsidRPr="00D57D12">
              <w:rPr>
                <w:rFonts w:ascii="Times New Roman" w:hAnsi="Times New Roman" w:cs="Times New Roman"/>
                <w:lang w:val="hr-HR"/>
              </w:rPr>
              <w:t>6,04</w:t>
            </w:r>
            <w:r w:rsidR="00803102" w:rsidRPr="00D57D12">
              <w:rPr>
                <w:rFonts w:ascii="Times New Roman" w:hAnsi="Times New Roman" w:cs="Times New Roman"/>
                <w:lang w:val="hr-HR"/>
              </w:rPr>
              <w:t>%</w:t>
            </w:r>
          </w:p>
        </w:tc>
      </w:tr>
      <w:tr w:rsidR="00803102" w:rsidRPr="00E721E2" w14:paraId="2482A8A6"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hideMark/>
          </w:tcPr>
          <w:p w14:paraId="139B7E2C" w14:textId="77777777" w:rsidR="00803102" w:rsidRPr="00E721E2" w:rsidRDefault="00803102" w:rsidP="00C15CC1">
            <w:pPr>
              <w:rPr>
                <w:rFonts w:ascii="Times New Roman" w:hAnsi="Times New Roman" w:cs="Times New Roman"/>
                <w:b/>
                <w:lang w:val="hr-HR"/>
              </w:rPr>
            </w:pPr>
            <w:r w:rsidRPr="00E721E2">
              <w:rPr>
                <w:rFonts w:ascii="Times New Roman" w:hAnsi="Times New Roman" w:cs="Times New Roman"/>
                <w:b/>
                <w:lang w:val="hr-HR"/>
              </w:rPr>
              <w:t>2. EU PROJEKTI</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F4418F4" w14:textId="6BA78AC8" w:rsidR="00803102" w:rsidRPr="00AC41C6" w:rsidRDefault="00AC41C6" w:rsidP="00C15CC1">
            <w:pPr>
              <w:jc w:val="right"/>
              <w:rPr>
                <w:rFonts w:ascii="Times New Roman" w:hAnsi="Times New Roman" w:cs="Times New Roman"/>
                <w:b/>
                <w:bCs/>
                <w:lang w:val="hr-HR"/>
              </w:rPr>
            </w:pPr>
            <w:r w:rsidRPr="00AC41C6">
              <w:rPr>
                <w:rFonts w:ascii="Times New Roman" w:hAnsi="Times New Roman" w:cs="Times New Roman"/>
                <w:b/>
                <w:bCs/>
                <w:lang w:val="hr-HR"/>
              </w:rPr>
              <w:t>423.352,82</w:t>
            </w:r>
          </w:p>
        </w:tc>
        <w:tc>
          <w:tcPr>
            <w:tcW w:w="1559" w:type="dxa"/>
            <w:tcBorders>
              <w:top w:val="single" w:sz="4" w:space="0" w:color="auto"/>
              <w:left w:val="single" w:sz="4" w:space="0" w:color="auto"/>
              <w:bottom w:val="single" w:sz="4" w:space="0" w:color="auto"/>
              <w:right w:val="single" w:sz="4" w:space="0" w:color="auto"/>
            </w:tcBorders>
            <w:vAlign w:val="center"/>
          </w:tcPr>
          <w:p w14:paraId="027E209C" w14:textId="2DC6293B" w:rsidR="00803102" w:rsidRPr="00AC41C6" w:rsidRDefault="00AC41C6" w:rsidP="00C15CC1">
            <w:pPr>
              <w:jc w:val="right"/>
              <w:rPr>
                <w:rFonts w:ascii="Times New Roman" w:hAnsi="Times New Roman" w:cs="Times New Roman"/>
                <w:b/>
                <w:bCs/>
                <w:color w:val="FF0000"/>
                <w:lang w:val="hr-HR"/>
              </w:rPr>
            </w:pPr>
            <w:r w:rsidRPr="00AC41C6">
              <w:rPr>
                <w:rFonts w:ascii="Times New Roman" w:hAnsi="Times New Roman" w:cs="Times New Roman"/>
                <w:b/>
                <w:bCs/>
                <w:lang w:val="hr-HR"/>
              </w:rPr>
              <w:t>487.845,0</w:t>
            </w:r>
            <w:r w:rsidR="00613EC4" w:rsidRPr="00AC41C6">
              <w:rPr>
                <w:rFonts w:ascii="Times New Roman" w:hAnsi="Times New Roman" w:cs="Times New Roman"/>
                <w:b/>
                <w:bCs/>
                <w:lang w:val="hr-HR"/>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5BD97" w14:textId="706A8A75" w:rsidR="00803102" w:rsidRPr="00AC41C6" w:rsidRDefault="00AC41C6" w:rsidP="00C15CC1">
            <w:pPr>
              <w:jc w:val="right"/>
              <w:rPr>
                <w:rFonts w:ascii="Times New Roman" w:hAnsi="Times New Roman" w:cs="Times New Roman"/>
                <w:b/>
                <w:bCs/>
                <w:color w:val="FF0000"/>
                <w:lang w:val="hr-HR"/>
              </w:rPr>
            </w:pPr>
            <w:r w:rsidRPr="00AC41C6">
              <w:rPr>
                <w:rFonts w:ascii="Times New Roman" w:hAnsi="Times New Roman" w:cs="Times New Roman"/>
                <w:b/>
                <w:bCs/>
                <w:lang w:val="hr-HR"/>
              </w:rPr>
              <w:t>492.362,76</w:t>
            </w:r>
          </w:p>
        </w:tc>
        <w:tc>
          <w:tcPr>
            <w:tcW w:w="1134" w:type="dxa"/>
            <w:tcBorders>
              <w:top w:val="single" w:sz="4" w:space="0" w:color="auto"/>
              <w:left w:val="single" w:sz="4" w:space="0" w:color="auto"/>
              <w:bottom w:val="single" w:sz="4" w:space="0" w:color="auto"/>
              <w:right w:val="single" w:sz="4" w:space="0" w:color="auto"/>
            </w:tcBorders>
            <w:vAlign w:val="center"/>
          </w:tcPr>
          <w:p w14:paraId="4637172F" w14:textId="35282100" w:rsidR="00803102" w:rsidRPr="00AC41C6" w:rsidRDefault="00AC41C6" w:rsidP="00C15CC1">
            <w:pPr>
              <w:jc w:val="right"/>
              <w:rPr>
                <w:rFonts w:ascii="Times New Roman" w:hAnsi="Times New Roman" w:cs="Times New Roman"/>
                <w:b/>
                <w:bCs/>
                <w:color w:val="FF0000"/>
                <w:lang w:val="hr-HR"/>
              </w:rPr>
            </w:pPr>
            <w:r w:rsidRPr="00AC41C6">
              <w:rPr>
                <w:rFonts w:ascii="Times New Roman" w:hAnsi="Times New Roman" w:cs="Times New Roman"/>
                <w:b/>
                <w:bCs/>
                <w:lang w:val="hr-HR"/>
              </w:rPr>
              <w:t>116,30</w:t>
            </w:r>
            <w:r w:rsidR="00803102" w:rsidRPr="00AC41C6">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8141F0" w14:textId="5823B6E9" w:rsidR="00803102" w:rsidRPr="00AC41C6" w:rsidRDefault="00AC41C6" w:rsidP="00C15CC1">
            <w:pPr>
              <w:jc w:val="right"/>
              <w:rPr>
                <w:rFonts w:ascii="Times New Roman" w:hAnsi="Times New Roman" w:cs="Times New Roman"/>
                <w:b/>
                <w:bCs/>
                <w:lang w:val="hr-HR"/>
              </w:rPr>
            </w:pPr>
            <w:r w:rsidRPr="00AC41C6">
              <w:rPr>
                <w:rFonts w:ascii="Times New Roman" w:hAnsi="Times New Roman" w:cs="Times New Roman"/>
                <w:b/>
                <w:bCs/>
                <w:lang w:val="hr-HR"/>
              </w:rPr>
              <w:t>100,93</w:t>
            </w:r>
            <w:r w:rsidR="00803102" w:rsidRPr="00AC41C6">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5BCB6230" w14:textId="3DE758EC" w:rsidR="00803102" w:rsidRPr="00363DCA" w:rsidRDefault="00D601DE" w:rsidP="00C15CC1">
            <w:pPr>
              <w:jc w:val="right"/>
              <w:rPr>
                <w:rFonts w:ascii="Times New Roman" w:hAnsi="Times New Roman" w:cs="Times New Roman"/>
                <w:b/>
                <w:bCs/>
                <w:highlight w:val="yellow"/>
                <w:lang w:val="hr-HR"/>
              </w:rPr>
            </w:pPr>
            <w:r w:rsidRPr="00D601DE">
              <w:rPr>
                <w:rFonts w:ascii="Times New Roman" w:hAnsi="Times New Roman" w:cs="Times New Roman"/>
                <w:b/>
                <w:bCs/>
                <w:lang w:val="hr-HR"/>
              </w:rPr>
              <w:t>59,6</w:t>
            </w:r>
            <w:r>
              <w:rPr>
                <w:rFonts w:ascii="Times New Roman" w:hAnsi="Times New Roman" w:cs="Times New Roman"/>
                <w:b/>
                <w:bCs/>
                <w:lang w:val="hr-HR"/>
              </w:rPr>
              <w:t>5</w:t>
            </w:r>
            <w:r w:rsidR="00803102" w:rsidRPr="00D601DE">
              <w:rPr>
                <w:rFonts w:ascii="Times New Roman" w:hAnsi="Times New Roman" w:cs="Times New Roman"/>
                <w:b/>
                <w:bCs/>
                <w:lang w:val="hr-HR"/>
              </w:rPr>
              <w:t>%</w:t>
            </w:r>
          </w:p>
        </w:tc>
      </w:tr>
      <w:tr w:rsidR="00803102" w:rsidRPr="00E721E2" w14:paraId="76AC030D"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hideMark/>
          </w:tcPr>
          <w:p w14:paraId="438CC0A5" w14:textId="77777777" w:rsidR="00803102" w:rsidRPr="00E721E2" w:rsidRDefault="00803102" w:rsidP="00C15CC1">
            <w:pPr>
              <w:rPr>
                <w:rFonts w:ascii="Times New Roman" w:hAnsi="Times New Roman" w:cs="Times New Roman"/>
                <w:bCs/>
                <w:lang w:val="hr-HR"/>
              </w:rPr>
            </w:pPr>
            <w:r w:rsidRPr="00E721E2">
              <w:rPr>
                <w:rFonts w:ascii="Times New Roman" w:hAnsi="Times New Roman" w:cs="Times New Roman"/>
                <w:bCs/>
                <w:lang w:val="hr-HR"/>
              </w:rPr>
              <w:t xml:space="preserve">2.1. Prihodi iz državnog proračuna </w:t>
            </w:r>
            <w:r w:rsidRPr="00E721E2">
              <w:rPr>
                <w:rFonts w:ascii="Times New Roman" w:hAnsi="Times New Roman" w:cs="Times New Roman"/>
                <w:bCs/>
                <w:lang w:val="hr-HR"/>
              </w:rPr>
              <w:br/>
              <w:t>temeljem prijenosa EU sredstava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9C759B4" w14:textId="1FE3A4B1"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347.759,10</w:t>
            </w:r>
          </w:p>
        </w:tc>
        <w:tc>
          <w:tcPr>
            <w:tcW w:w="1559" w:type="dxa"/>
            <w:tcBorders>
              <w:top w:val="single" w:sz="4" w:space="0" w:color="auto"/>
              <w:left w:val="single" w:sz="4" w:space="0" w:color="auto"/>
              <w:bottom w:val="single" w:sz="4" w:space="0" w:color="auto"/>
              <w:right w:val="single" w:sz="4" w:space="0" w:color="auto"/>
            </w:tcBorders>
            <w:vAlign w:val="center"/>
          </w:tcPr>
          <w:p w14:paraId="3FC9071D" w14:textId="467A49C7"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416.145</w:t>
            </w:r>
            <w:r w:rsidR="00803102" w:rsidRPr="00AC41C6">
              <w:rPr>
                <w:rFonts w:ascii="Times New Roman" w:hAnsi="Times New Roman" w:cs="Times New Roman"/>
                <w:bCs/>
                <w:lang w:val="hr-HR"/>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2AA45" w14:textId="187DE0A2"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429.189,22</w:t>
            </w:r>
          </w:p>
        </w:tc>
        <w:tc>
          <w:tcPr>
            <w:tcW w:w="1134" w:type="dxa"/>
            <w:tcBorders>
              <w:top w:val="single" w:sz="4" w:space="0" w:color="auto"/>
              <w:left w:val="single" w:sz="4" w:space="0" w:color="auto"/>
              <w:bottom w:val="single" w:sz="4" w:space="0" w:color="auto"/>
              <w:right w:val="single" w:sz="4" w:space="0" w:color="auto"/>
            </w:tcBorders>
            <w:vAlign w:val="center"/>
          </w:tcPr>
          <w:p w14:paraId="32EADE87" w14:textId="7B70EF49"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123,42</w:t>
            </w:r>
            <w:r w:rsidR="00803102" w:rsidRPr="00AC41C6">
              <w:rPr>
                <w:rFonts w:ascii="Times New Roman" w:hAnsi="Times New Roman" w:cs="Times New Roman"/>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67A320" w14:textId="26CFF69E" w:rsidR="00803102" w:rsidRPr="00AC41C6" w:rsidRDefault="00AC41C6" w:rsidP="00C15CC1">
            <w:pPr>
              <w:jc w:val="right"/>
              <w:rPr>
                <w:rFonts w:ascii="Times New Roman" w:hAnsi="Times New Roman" w:cs="Times New Roman"/>
                <w:bCs/>
                <w:color w:val="FF0000"/>
                <w:lang w:val="hr-HR"/>
              </w:rPr>
            </w:pPr>
            <w:r w:rsidRPr="00AC41C6">
              <w:rPr>
                <w:rFonts w:ascii="Times New Roman" w:hAnsi="Times New Roman" w:cs="Times New Roman"/>
                <w:bCs/>
                <w:lang w:val="hr-HR"/>
              </w:rPr>
              <w:t>103,13</w:t>
            </w:r>
            <w:r w:rsidR="00803102" w:rsidRPr="00AC41C6">
              <w:rPr>
                <w:rFonts w:ascii="Times New Roman" w:hAnsi="Times New Roman" w:cs="Times New Roman"/>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5DEA0AC5" w14:textId="650A0869" w:rsidR="00803102" w:rsidRPr="00363DCA" w:rsidRDefault="00D601DE" w:rsidP="00C15CC1">
            <w:pPr>
              <w:jc w:val="right"/>
              <w:rPr>
                <w:rFonts w:ascii="Times New Roman" w:hAnsi="Times New Roman" w:cs="Times New Roman"/>
                <w:bCs/>
                <w:highlight w:val="yellow"/>
                <w:lang w:val="hr-HR"/>
              </w:rPr>
            </w:pPr>
            <w:r w:rsidRPr="00D601DE">
              <w:rPr>
                <w:rFonts w:ascii="Times New Roman" w:hAnsi="Times New Roman" w:cs="Times New Roman"/>
                <w:bCs/>
                <w:lang w:val="hr-HR"/>
              </w:rPr>
              <w:t>5</w:t>
            </w:r>
            <w:r>
              <w:rPr>
                <w:rFonts w:ascii="Times New Roman" w:hAnsi="Times New Roman" w:cs="Times New Roman"/>
                <w:bCs/>
                <w:lang w:val="hr-HR"/>
              </w:rPr>
              <w:t>2</w:t>
            </w:r>
            <w:r w:rsidRPr="00D601DE">
              <w:rPr>
                <w:rFonts w:ascii="Times New Roman" w:hAnsi="Times New Roman" w:cs="Times New Roman"/>
                <w:bCs/>
                <w:lang w:val="hr-HR"/>
              </w:rPr>
              <w:t>,</w:t>
            </w:r>
            <w:r>
              <w:rPr>
                <w:rFonts w:ascii="Times New Roman" w:hAnsi="Times New Roman" w:cs="Times New Roman"/>
                <w:bCs/>
                <w:lang w:val="hr-HR"/>
              </w:rPr>
              <w:t>00</w:t>
            </w:r>
            <w:r w:rsidR="00803102" w:rsidRPr="00D601DE">
              <w:rPr>
                <w:rFonts w:ascii="Times New Roman" w:hAnsi="Times New Roman" w:cs="Times New Roman"/>
                <w:bCs/>
                <w:lang w:val="hr-HR"/>
              </w:rPr>
              <w:t>%</w:t>
            </w:r>
          </w:p>
        </w:tc>
      </w:tr>
      <w:tr w:rsidR="00803102" w:rsidRPr="00E721E2" w14:paraId="3BE9CB8B" w14:textId="77777777" w:rsidTr="00052648">
        <w:trPr>
          <w:jc w:val="center"/>
        </w:trPr>
        <w:tc>
          <w:tcPr>
            <w:tcW w:w="2127" w:type="dxa"/>
            <w:tcBorders>
              <w:top w:val="single" w:sz="4" w:space="0" w:color="auto"/>
              <w:left w:val="single" w:sz="4" w:space="0" w:color="auto"/>
              <w:bottom w:val="single" w:sz="4" w:space="0" w:color="auto"/>
              <w:right w:val="single" w:sz="4" w:space="0" w:color="auto"/>
            </w:tcBorders>
          </w:tcPr>
          <w:p w14:paraId="1B4C56FE" w14:textId="3C88322A" w:rsidR="00803102" w:rsidRPr="00E721E2" w:rsidRDefault="00803102" w:rsidP="00C15CC1">
            <w:pPr>
              <w:rPr>
                <w:rFonts w:ascii="Times New Roman" w:hAnsi="Times New Roman" w:cs="Times New Roman"/>
                <w:bCs/>
                <w:lang w:val="hr-HR"/>
              </w:rPr>
            </w:pPr>
            <w:r w:rsidRPr="00E721E2">
              <w:rPr>
                <w:rFonts w:ascii="Times New Roman" w:hAnsi="Times New Roman" w:cs="Times New Roman"/>
                <w:bCs/>
                <w:lang w:val="hr-HR"/>
              </w:rPr>
              <w:t>2.</w:t>
            </w:r>
            <w:r w:rsidR="00052648" w:rsidRPr="00E721E2">
              <w:rPr>
                <w:rFonts w:ascii="Times New Roman" w:hAnsi="Times New Roman" w:cs="Times New Roman"/>
                <w:bCs/>
                <w:lang w:val="hr-HR"/>
              </w:rPr>
              <w:t>2</w:t>
            </w:r>
            <w:r w:rsidRPr="00E721E2">
              <w:rPr>
                <w:rFonts w:ascii="Times New Roman" w:hAnsi="Times New Roman" w:cs="Times New Roman"/>
                <w:bCs/>
                <w:lang w:val="hr-HR"/>
              </w:rPr>
              <w:t>. Prihodi od kapitalnih pomoći iz državnog proračuna temeljem prijenosa EU sredstava</w:t>
            </w:r>
          </w:p>
        </w:tc>
        <w:tc>
          <w:tcPr>
            <w:tcW w:w="1412" w:type="dxa"/>
            <w:tcBorders>
              <w:top w:val="single" w:sz="4" w:space="0" w:color="auto"/>
              <w:left w:val="single" w:sz="4" w:space="0" w:color="auto"/>
              <w:bottom w:val="single" w:sz="4" w:space="0" w:color="auto"/>
              <w:right w:val="single" w:sz="4" w:space="0" w:color="auto"/>
            </w:tcBorders>
            <w:vAlign w:val="center"/>
          </w:tcPr>
          <w:p w14:paraId="5AB21C7F" w14:textId="196B0A58"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11.460,30</w:t>
            </w:r>
          </w:p>
        </w:tc>
        <w:tc>
          <w:tcPr>
            <w:tcW w:w="1559" w:type="dxa"/>
            <w:tcBorders>
              <w:top w:val="single" w:sz="4" w:space="0" w:color="auto"/>
              <w:left w:val="single" w:sz="4" w:space="0" w:color="auto"/>
              <w:bottom w:val="single" w:sz="4" w:space="0" w:color="auto"/>
              <w:right w:val="single" w:sz="4" w:space="0" w:color="auto"/>
            </w:tcBorders>
            <w:vAlign w:val="center"/>
          </w:tcPr>
          <w:p w14:paraId="7DFC2640" w14:textId="0923E53E" w:rsidR="00803102" w:rsidRPr="00AC41C6" w:rsidRDefault="00052648" w:rsidP="00C15CC1">
            <w:pPr>
              <w:jc w:val="right"/>
              <w:rPr>
                <w:rFonts w:ascii="Times New Roman" w:hAnsi="Times New Roman" w:cs="Times New Roman"/>
                <w:bCs/>
                <w:lang w:val="hr-HR"/>
              </w:rPr>
            </w:pPr>
            <w:r w:rsidRPr="00AC41C6">
              <w:rPr>
                <w:rFonts w:ascii="Times New Roman" w:hAnsi="Times New Roman" w:cs="Times New Roman"/>
                <w:bCs/>
                <w:lang w:val="hr-HR"/>
              </w:rPr>
              <w:t>1</w:t>
            </w:r>
            <w:r w:rsidR="007C408F" w:rsidRPr="00AC41C6">
              <w:rPr>
                <w:rFonts w:ascii="Times New Roman" w:hAnsi="Times New Roman" w:cs="Times New Roman"/>
                <w:bCs/>
                <w:lang w:val="hr-HR"/>
              </w:rPr>
              <w:t>.700</w:t>
            </w:r>
            <w:r w:rsidRPr="00AC41C6">
              <w:rPr>
                <w:rFonts w:ascii="Times New Roman" w:hAnsi="Times New Roman" w:cs="Times New Roman"/>
                <w:bCs/>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545797" w14:textId="6BC92C20" w:rsidR="00803102" w:rsidRPr="00AC41C6" w:rsidRDefault="007C408F" w:rsidP="00C15CC1">
            <w:pPr>
              <w:jc w:val="right"/>
              <w:rPr>
                <w:rFonts w:ascii="Times New Roman" w:hAnsi="Times New Roman" w:cs="Times New Roman"/>
                <w:bCs/>
                <w:lang w:val="hr-HR"/>
              </w:rPr>
            </w:pPr>
            <w:r w:rsidRPr="00AC41C6">
              <w:rPr>
                <w:rFonts w:ascii="Times New Roman" w:hAnsi="Times New Roman" w:cs="Times New Roman"/>
                <w:bCs/>
                <w:lang w:val="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7B11CE3" w14:textId="2EFFB707" w:rsidR="00803102" w:rsidRPr="00AC41C6" w:rsidRDefault="007C408F" w:rsidP="00C15CC1">
            <w:pPr>
              <w:jc w:val="right"/>
              <w:rPr>
                <w:rFonts w:ascii="Times New Roman" w:hAnsi="Times New Roman" w:cs="Times New Roman"/>
                <w:bCs/>
                <w:lang w:val="hr-HR"/>
              </w:rPr>
            </w:pPr>
            <w:r w:rsidRPr="00AC41C6">
              <w:rPr>
                <w:rFonts w:ascii="Times New Roman" w:hAnsi="Times New Roman" w:cs="Times New Roman"/>
                <w:bCs/>
                <w:lang w:val="hr-HR"/>
              </w:rPr>
              <w:t>0,00</w:t>
            </w:r>
            <w:r w:rsidR="00803102" w:rsidRPr="00AC41C6">
              <w:rPr>
                <w:rFonts w:ascii="Times New Roman" w:hAnsi="Times New Roman" w:cs="Times New Roman"/>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20AE12EC" w14:textId="774298FE" w:rsidR="00803102" w:rsidRPr="00AC41C6" w:rsidRDefault="00381A95" w:rsidP="00C15CC1">
            <w:pPr>
              <w:jc w:val="right"/>
              <w:rPr>
                <w:rFonts w:ascii="Times New Roman" w:hAnsi="Times New Roman" w:cs="Times New Roman"/>
                <w:bCs/>
                <w:color w:val="FF0000"/>
                <w:lang w:val="hr-HR"/>
              </w:rPr>
            </w:pPr>
            <w:r w:rsidRPr="00AC41C6">
              <w:rPr>
                <w:rFonts w:ascii="Times New Roman" w:hAnsi="Times New Roman" w:cs="Times New Roman"/>
                <w:bCs/>
                <w:lang w:val="hr-HR"/>
              </w:rPr>
              <w:t>0,00</w:t>
            </w:r>
            <w:r w:rsidR="00803102" w:rsidRPr="00AC41C6">
              <w:rPr>
                <w:rFonts w:ascii="Times New Roman" w:hAnsi="Times New Roman" w:cs="Times New Roman"/>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5118B522" w14:textId="11839513" w:rsidR="00803102" w:rsidRPr="00D601DE" w:rsidRDefault="00381A95" w:rsidP="00C15CC1">
            <w:pPr>
              <w:jc w:val="right"/>
              <w:rPr>
                <w:rFonts w:ascii="Times New Roman" w:hAnsi="Times New Roman" w:cs="Times New Roman"/>
                <w:bCs/>
                <w:lang w:val="hr-HR"/>
              </w:rPr>
            </w:pPr>
            <w:r w:rsidRPr="00D601DE">
              <w:rPr>
                <w:rFonts w:ascii="Times New Roman" w:hAnsi="Times New Roman" w:cs="Times New Roman"/>
                <w:bCs/>
                <w:lang w:val="hr-HR"/>
              </w:rPr>
              <w:t>0,00</w:t>
            </w:r>
            <w:r w:rsidR="00803102" w:rsidRPr="00D601DE">
              <w:rPr>
                <w:rFonts w:ascii="Times New Roman" w:hAnsi="Times New Roman" w:cs="Times New Roman"/>
                <w:bCs/>
                <w:lang w:val="hr-HR"/>
              </w:rPr>
              <w:t>%</w:t>
            </w:r>
          </w:p>
        </w:tc>
      </w:tr>
      <w:tr w:rsidR="00803102" w:rsidRPr="00E721E2" w14:paraId="742E8A88"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tcPr>
          <w:p w14:paraId="13326672" w14:textId="292E7156" w:rsidR="00803102" w:rsidRPr="00E721E2" w:rsidRDefault="00803102" w:rsidP="00C15CC1">
            <w:pPr>
              <w:rPr>
                <w:rFonts w:ascii="Times New Roman" w:hAnsi="Times New Roman" w:cs="Times New Roman"/>
                <w:bCs/>
                <w:lang w:val="hr-HR"/>
              </w:rPr>
            </w:pPr>
            <w:r w:rsidRPr="00E721E2">
              <w:rPr>
                <w:rFonts w:ascii="Times New Roman" w:hAnsi="Times New Roman" w:cs="Times New Roman"/>
                <w:bCs/>
                <w:lang w:val="hr-HR"/>
              </w:rPr>
              <w:t>2.</w:t>
            </w:r>
            <w:r w:rsidR="00052648" w:rsidRPr="00E721E2">
              <w:rPr>
                <w:rFonts w:ascii="Times New Roman" w:hAnsi="Times New Roman" w:cs="Times New Roman"/>
                <w:bCs/>
                <w:lang w:val="hr-HR"/>
              </w:rPr>
              <w:t>3</w:t>
            </w:r>
            <w:r w:rsidRPr="00E721E2">
              <w:rPr>
                <w:rFonts w:ascii="Times New Roman" w:hAnsi="Times New Roman" w:cs="Times New Roman"/>
                <w:bCs/>
                <w:lang w:val="hr-HR"/>
              </w:rPr>
              <w:t>. Prihodi od tekućih pomoći od institucija i tijela EU</w:t>
            </w:r>
          </w:p>
        </w:tc>
        <w:tc>
          <w:tcPr>
            <w:tcW w:w="1412" w:type="dxa"/>
            <w:tcBorders>
              <w:top w:val="single" w:sz="4" w:space="0" w:color="auto"/>
              <w:left w:val="single" w:sz="4" w:space="0" w:color="auto"/>
              <w:bottom w:val="single" w:sz="4" w:space="0" w:color="auto"/>
              <w:right w:val="single" w:sz="4" w:space="0" w:color="auto"/>
            </w:tcBorders>
            <w:vAlign w:val="center"/>
          </w:tcPr>
          <w:p w14:paraId="0F90D9D1" w14:textId="06BD7E9D" w:rsidR="00803102" w:rsidRPr="00AC41C6" w:rsidRDefault="007C408F" w:rsidP="00C15CC1">
            <w:pPr>
              <w:jc w:val="right"/>
              <w:rPr>
                <w:rFonts w:ascii="Times New Roman" w:hAnsi="Times New Roman" w:cs="Times New Roman"/>
                <w:bCs/>
                <w:lang w:val="hr-HR"/>
              </w:rPr>
            </w:pPr>
            <w:r w:rsidRPr="00AC41C6">
              <w:rPr>
                <w:rFonts w:ascii="Times New Roman" w:hAnsi="Times New Roman" w:cs="Times New Roman"/>
                <w:bCs/>
                <w:lang w:val="hr-HR"/>
              </w:rPr>
              <w:t>64.133,42</w:t>
            </w:r>
          </w:p>
        </w:tc>
        <w:tc>
          <w:tcPr>
            <w:tcW w:w="1559" w:type="dxa"/>
            <w:tcBorders>
              <w:top w:val="single" w:sz="4" w:space="0" w:color="auto"/>
              <w:left w:val="single" w:sz="4" w:space="0" w:color="auto"/>
              <w:bottom w:val="single" w:sz="4" w:space="0" w:color="auto"/>
              <w:right w:val="single" w:sz="4" w:space="0" w:color="auto"/>
            </w:tcBorders>
            <w:vAlign w:val="center"/>
          </w:tcPr>
          <w:p w14:paraId="4300D575" w14:textId="799568C6" w:rsidR="00803102" w:rsidRPr="00AC41C6" w:rsidRDefault="007C408F" w:rsidP="00C15CC1">
            <w:pPr>
              <w:jc w:val="right"/>
              <w:rPr>
                <w:rFonts w:ascii="Times New Roman" w:hAnsi="Times New Roman" w:cs="Times New Roman"/>
                <w:bCs/>
                <w:lang w:val="hr-HR"/>
              </w:rPr>
            </w:pPr>
            <w:r w:rsidRPr="00AC41C6">
              <w:rPr>
                <w:rFonts w:ascii="Times New Roman" w:hAnsi="Times New Roman" w:cs="Times New Roman"/>
                <w:bCs/>
                <w:lang w:val="hr-HR"/>
              </w:rPr>
              <w:t>70.000,</w:t>
            </w:r>
            <w:r w:rsidR="00803102" w:rsidRPr="00AC41C6">
              <w:rPr>
                <w:rFonts w:ascii="Times New Roman" w:hAnsi="Times New Roman" w:cs="Times New Roman"/>
                <w:bCs/>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209BBA1" w14:textId="06152F27"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63.173,54</w:t>
            </w:r>
          </w:p>
        </w:tc>
        <w:tc>
          <w:tcPr>
            <w:tcW w:w="1134" w:type="dxa"/>
            <w:tcBorders>
              <w:top w:val="single" w:sz="4" w:space="0" w:color="auto"/>
              <w:left w:val="single" w:sz="4" w:space="0" w:color="auto"/>
              <w:bottom w:val="single" w:sz="4" w:space="0" w:color="auto"/>
              <w:right w:val="single" w:sz="4" w:space="0" w:color="auto"/>
            </w:tcBorders>
            <w:vAlign w:val="center"/>
          </w:tcPr>
          <w:p w14:paraId="1A6FC5F7" w14:textId="28AAD20F" w:rsidR="00803102" w:rsidRPr="00AC41C6" w:rsidRDefault="00AC41C6" w:rsidP="00C15CC1">
            <w:pPr>
              <w:jc w:val="right"/>
              <w:rPr>
                <w:rFonts w:ascii="Times New Roman" w:hAnsi="Times New Roman" w:cs="Times New Roman"/>
                <w:bCs/>
                <w:lang w:val="hr-HR"/>
              </w:rPr>
            </w:pPr>
            <w:r w:rsidRPr="00AC41C6">
              <w:rPr>
                <w:rFonts w:ascii="Times New Roman" w:hAnsi="Times New Roman" w:cs="Times New Roman"/>
                <w:bCs/>
                <w:lang w:val="hr-HR"/>
              </w:rPr>
              <w:t>98,50</w:t>
            </w:r>
            <w:r w:rsidR="00803102" w:rsidRPr="00AC41C6">
              <w:rPr>
                <w:rFonts w:ascii="Times New Roman" w:hAnsi="Times New Roman" w:cs="Times New Roman"/>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4D0A4A3B" w14:textId="5F6F8815" w:rsidR="00803102" w:rsidRPr="00AC41C6" w:rsidRDefault="00AC41C6" w:rsidP="00C15CC1">
            <w:pPr>
              <w:jc w:val="right"/>
              <w:rPr>
                <w:rFonts w:ascii="Times New Roman" w:hAnsi="Times New Roman" w:cs="Times New Roman"/>
                <w:bCs/>
                <w:color w:val="FF0000"/>
                <w:lang w:val="hr-HR"/>
              </w:rPr>
            </w:pPr>
            <w:r w:rsidRPr="00AC41C6">
              <w:rPr>
                <w:rFonts w:ascii="Times New Roman" w:hAnsi="Times New Roman" w:cs="Times New Roman"/>
                <w:bCs/>
                <w:lang w:val="hr-HR"/>
              </w:rPr>
              <w:t>90,25</w:t>
            </w:r>
            <w:r w:rsidR="00803102" w:rsidRPr="00AC41C6">
              <w:rPr>
                <w:rFonts w:ascii="Times New Roman" w:hAnsi="Times New Roman" w:cs="Times New Roman"/>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1ECE8770" w14:textId="6E50EFD3" w:rsidR="00803102" w:rsidRPr="00363DCA" w:rsidRDefault="00D601DE" w:rsidP="00C15CC1">
            <w:pPr>
              <w:jc w:val="right"/>
              <w:rPr>
                <w:rFonts w:ascii="Times New Roman" w:hAnsi="Times New Roman" w:cs="Times New Roman"/>
                <w:bCs/>
                <w:highlight w:val="yellow"/>
                <w:lang w:val="hr-HR"/>
              </w:rPr>
            </w:pPr>
            <w:r w:rsidRPr="00D601DE">
              <w:rPr>
                <w:rFonts w:ascii="Times New Roman" w:hAnsi="Times New Roman" w:cs="Times New Roman"/>
                <w:bCs/>
                <w:lang w:val="hr-HR"/>
              </w:rPr>
              <w:t>7,65</w:t>
            </w:r>
            <w:r w:rsidR="00803102" w:rsidRPr="00D601DE">
              <w:rPr>
                <w:rFonts w:ascii="Times New Roman" w:hAnsi="Times New Roman" w:cs="Times New Roman"/>
                <w:bCs/>
                <w:lang w:val="hr-HR"/>
              </w:rPr>
              <w:t>%</w:t>
            </w:r>
          </w:p>
        </w:tc>
      </w:tr>
      <w:tr w:rsidR="00803102" w:rsidRPr="00E721E2" w14:paraId="7B3F9C03"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3AE46850" w14:textId="77777777" w:rsidR="00803102" w:rsidRPr="00E721E2" w:rsidRDefault="00803102" w:rsidP="00C15CC1">
            <w:pPr>
              <w:rPr>
                <w:rFonts w:ascii="Times New Roman" w:hAnsi="Times New Roman" w:cs="Times New Roman"/>
                <w:b/>
                <w:bCs/>
                <w:lang w:val="hr-HR"/>
              </w:rPr>
            </w:pPr>
            <w:r w:rsidRPr="00E721E2">
              <w:rPr>
                <w:rFonts w:ascii="Times New Roman" w:hAnsi="Times New Roman" w:cs="Times New Roman"/>
                <w:b/>
                <w:bCs/>
                <w:lang w:val="hr-HR"/>
              </w:rPr>
              <w:t>3. VLASTITI PRIHODI</w:t>
            </w:r>
            <w:r w:rsidRPr="00E721E2">
              <w:rPr>
                <w:rFonts w:ascii="Times New Roman" w:hAnsi="Times New Roman" w:cs="Times New Roman"/>
                <w:b/>
                <w:bCs/>
                <w:color w:val="FF0000"/>
                <w:lang w:val="hr-HR"/>
              </w:rPr>
              <w:t xml:space="preserve">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782A472" w14:textId="05CC20B2" w:rsidR="00803102" w:rsidRPr="00AC41C6" w:rsidRDefault="00AC41C6" w:rsidP="00C15CC1">
            <w:pPr>
              <w:jc w:val="right"/>
              <w:rPr>
                <w:rFonts w:ascii="Times New Roman" w:hAnsi="Times New Roman" w:cs="Times New Roman"/>
                <w:b/>
                <w:bCs/>
                <w:lang w:val="hr-HR"/>
              </w:rPr>
            </w:pPr>
            <w:r w:rsidRPr="00AC41C6">
              <w:rPr>
                <w:rFonts w:ascii="Times New Roman" w:hAnsi="Times New Roman" w:cs="Times New Roman"/>
                <w:b/>
                <w:bCs/>
                <w:lang w:val="hr-HR"/>
              </w:rPr>
              <w:t>0,22</w:t>
            </w:r>
          </w:p>
        </w:tc>
        <w:tc>
          <w:tcPr>
            <w:tcW w:w="1559" w:type="dxa"/>
            <w:tcBorders>
              <w:top w:val="single" w:sz="4" w:space="0" w:color="auto"/>
              <w:left w:val="single" w:sz="4" w:space="0" w:color="auto"/>
              <w:bottom w:val="single" w:sz="4" w:space="0" w:color="auto"/>
              <w:right w:val="single" w:sz="4" w:space="0" w:color="auto"/>
            </w:tcBorders>
            <w:vAlign w:val="center"/>
          </w:tcPr>
          <w:p w14:paraId="19EB8C06" w14:textId="2A3070BB" w:rsidR="00803102" w:rsidRPr="00AC41C6" w:rsidRDefault="007C408F" w:rsidP="00C15CC1">
            <w:pPr>
              <w:jc w:val="right"/>
              <w:rPr>
                <w:rFonts w:ascii="Times New Roman" w:hAnsi="Times New Roman" w:cs="Times New Roman"/>
                <w:b/>
                <w:bCs/>
                <w:lang w:val="hr-HR"/>
              </w:rPr>
            </w:pPr>
            <w:r w:rsidRPr="00AC41C6">
              <w:rPr>
                <w:rFonts w:ascii="Times New Roman" w:hAnsi="Times New Roman" w:cs="Times New Roman"/>
                <w:b/>
                <w:bCs/>
                <w:lang w:val="hr-HR"/>
              </w:rPr>
              <w:t>1</w:t>
            </w:r>
            <w:r w:rsidR="00803102" w:rsidRPr="00AC41C6">
              <w:rPr>
                <w:rFonts w:ascii="Times New Roman" w:hAnsi="Times New Roman" w:cs="Times New Roman"/>
                <w:b/>
                <w:bCs/>
                <w:lang w:val="hr-HR"/>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77727" w14:textId="339AC654" w:rsidR="00803102" w:rsidRPr="00AC41C6" w:rsidRDefault="00AC41C6" w:rsidP="00C15CC1">
            <w:pPr>
              <w:jc w:val="right"/>
              <w:rPr>
                <w:rFonts w:ascii="Times New Roman" w:hAnsi="Times New Roman" w:cs="Times New Roman"/>
                <w:b/>
                <w:bCs/>
                <w:lang w:val="hr-HR"/>
              </w:rPr>
            </w:pPr>
            <w:r w:rsidRPr="00AC41C6">
              <w:rPr>
                <w:rFonts w:ascii="Times New Roman" w:hAnsi="Times New Roman" w:cs="Times New Roman"/>
                <w:b/>
                <w:bCs/>
                <w:lang w:val="hr-HR"/>
              </w:rPr>
              <w:t>0,25</w:t>
            </w:r>
          </w:p>
        </w:tc>
        <w:tc>
          <w:tcPr>
            <w:tcW w:w="1134" w:type="dxa"/>
            <w:tcBorders>
              <w:top w:val="single" w:sz="4" w:space="0" w:color="auto"/>
              <w:left w:val="single" w:sz="4" w:space="0" w:color="auto"/>
              <w:bottom w:val="single" w:sz="4" w:space="0" w:color="auto"/>
              <w:right w:val="single" w:sz="4" w:space="0" w:color="auto"/>
            </w:tcBorders>
            <w:vAlign w:val="center"/>
          </w:tcPr>
          <w:p w14:paraId="2852FD1E" w14:textId="3673E6C6" w:rsidR="00803102" w:rsidRPr="009427E0" w:rsidRDefault="007C408F" w:rsidP="00C15CC1">
            <w:pPr>
              <w:jc w:val="right"/>
              <w:rPr>
                <w:rFonts w:ascii="Times New Roman" w:hAnsi="Times New Roman" w:cs="Times New Roman"/>
                <w:b/>
                <w:bCs/>
                <w:lang w:val="hr-HR"/>
              </w:rPr>
            </w:pPr>
            <w:r w:rsidRPr="009427E0">
              <w:rPr>
                <w:rFonts w:ascii="Times New Roman" w:hAnsi="Times New Roman" w:cs="Times New Roman"/>
                <w:b/>
                <w:bCs/>
                <w:lang w:val="hr-HR"/>
              </w:rPr>
              <w:t>11</w:t>
            </w:r>
            <w:r w:rsidR="009427E0" w:rsidRPr="009427E0">
              <w:rPr>
                <w:rFonts w:ascii="Times New Roman" w:hAnsi="Times New Roman" w:cs="Times New Roman"/>
                <w:b/>
                <w:bCs/>
                <w:lang w:val="hr-HR"/>
              </w:rPr>
              <w:t>3,64</w:t>
            </w:r>
            <w:r w:rsidR="00803102" w:rsidRPr="009427E0">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C53BBF" w14:textId="519638CB" w:rsidR="00803102" w:rsidRPr="009427E0" w:rsidRDefault="009427E0" w:rsidP="00C15CC1">
            <w:pPr>
              <w:jc w:val="right"/>
              <w:rPr>
                <w:rFonts w:ascii="Times New Roman" w:hAnsi="Times New Roman" w:cs="Times New Roman"/>
                <w:b/>
                <w:bCs/>
                <w:lang w:val="hr-HR"/>
              </w:rPr>
            </w:pPr>
            <w:r w:rsidRPr="009427E0">
              <w:rPr>
                <w:rFonts w:ascii="Times New Roman" w:hAnsi="Times New Roman" w:cs="Times New Roman"/>
                <w:b/>
                <w:bCs/>
                <w:lang w:val="hr-HR"/>
              </w:rPr>
              <w:t>25,0</w:t>
            </w:r>
            <w:r w:rsidR="00381A95" w:rsidRPr="009427E0">
              <w:rPr>
                <w:rFonts w:ascii="Times New Roman" w:hAnsi="Times New Roman" w:cs="Times New Roman"/>
                <w:b/>
                <w:bCs/>
                <w:lang w:val="hr-HR"/>
              </w:rPr>
              <w:t>0</w:t>
            </w:r>
            <w:r w:rsidR="00803102" w:rsidRPr="009427E0">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3391CBAE" w14:textId="77777777" w:rsidR="00803102" w:rsidRPr="00363DCA" w:rsidRDefault="00803102" w:rsidP="00C15CC1">
            <w:pPr>
              <w:jc w:val="right"/>
              <w:rPr>
                <w:rFonts w:ascii="Times New Roman" w:hAnsi="Times New Roman" w:cs="Times New Roman"/>
                <w:b/>
                <w:bCs/>
                <w:highlight w:val="yellow"/>
                <w:lang w:val="hr-HR"/>
              </w:rPr>
            </w:pPr>
            <w:r w:rsidRPr="00D601DE">
              <w:rPr>
                <w:rFonts w:ascii="Times New Roman" w:hAnsi="Times New Roman" w:cs="Times New Roman"/>
                <w:b/>
                <w:bCs/>
                <w:lang w:val="hr-HR"/>
              </w:rPr>
              <w:t>0,00%</w:t>
            </w:r>
          </w:p>
        </w:tc>
      </w:tr>
      <w:tr w:rsidR="003A6530" w:rsidRPr="00E721E2" w14:paraId="6BB3AB2E"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vAlign w:val="center"/>
          </w:tcPr>
          <w:p w14:paraId="6DF4EB9A" w14:textId="61C64CDA" w:rsidR="003A6530" w:rsidRPr="00E721E2" w:rsidRDefault="003A6530" w:rsidP="003A6530">
            <w:pPr>
              <w:rPr>
                <w:rFonts w:ascii="Times New Roman" w:hAnsi="Times New Roman" w:cs="Times New Roman"/>
                <w:b/>
                <w:bCs/>
                <w:lang w:val="hr-HR"/>
              </w:rPr>
            </w:pPr>
            <w:r w:rsidRPr="00E721E2">
              <w:rPr>
                <w:rFonts w:ascii="Times New Roman" w:hAnsi="Times New Roman" w:cs="Times New Roman"/>
                <w:b/>
                <w:bCs/>
                <w:lang w:val="hr-HR"/>
              </w:rPr>
              <w:t>4. PRIHODI PO POSEBNIM PROPISIMA</w:t>
            </w:r>
            <w:r w:rsidRPr="00E721E2">
              <w:rPr>
                <w:rFonts w:ascii="Times New Roman" w:hAnsi="Times New Roman" w:cs="Times New Roman"/>
                <w:b/>
                <w:bCs/>
                <w:color w:val="FF0000"/>
                <w:lang w:val="hr-HR"/>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67FF5626" w14:textId="7F685683" w:rsidR="003A6530" w:rsidRPr="00AC41C6" w:rsidRDefault="00AC41C6" w:rsidP="003A6530">
            <w:pPr>
              <w:jc w:val="right"/>
              <w:rPr>
                <w:rFonts w:ascii="Times New Roman" w:hAnsi="Times New Roman" w:cs="Times New Roman"/>
                <w:b/>
                <w:bCs/>
                <w:lang w:val="hr-HR"/>
              </w:rPr>
            </w:pPr>
            <w:r w:rsidRPr="00AC41C6">
              <w:rPr>
                <w:rFonts w:ascii="Times New Roman" w:hAnsi="Times New Roman" w:cs="Times New Roman"/>
                <w:b/>
                <w:bCs/>
                <w:lang w:val="hr-HR"/>
              </w:rPr>
              <w:t>296,90</w:t>
            </w:r>
          </w:p>
        </w:tc>
        <w:tc>
          <w:tcPr>
            <w:tcW w:w="1559" w:type="dxa"/>
            <w:tcBorders>
              <w:top w:val="single" w:sz="4" w:space="0" w:color="auto"/>
              <w:left w:val="single" w:sz="4" w:space="0" w:color="auto"/>
              <w:bottom w:val="single" w:sz="4" w:space="0" w:color="auto"/>
              <w:right w:val="single" w:sz="4" w:space="0" w:color="auto"/>
            </w:tcBorders>
            <w:vAlign w:val="center"/>
          </w:tcPr>
          <w:p w14:paraId="4998DC86" w14:textId="663E9BDE" w:rsidR="003A6530" w:rsidRPr="00AC41C6" w:rsidRDefault="007C408F" w:rsidP="003A6530">
            <w:pPr>
              <w:jc w:val="right"/>
              <w:rPr>
                <w:rFonts w:ascii="Times New Roman" w:hAnsi="Times New Roman" w:cs="Times New Roman"/>
                <w:b/>
                <w:bCs/>
                <w:lang w:val="hr-HR"/>
              </w:rPr>
            </w:pPr>
            <w:r w:rsidRPr="00AC41C6">
              <w:rPr>
                <w:rFonts w:ascii="Times New Roman" w:hAnsi="Times New Roman" w:cs="Times New Roman"/>
                <w:b/>
                <w:bCs/>
                <w:lang w:val="hr-HR"/>
              </w:rPr>
              <w:t>463,</w:t>
            </w:r>
            <w:r w:rsidR="003A6530" w:rsidRPr="00AC41C6">
              <w:rPr>
                <w:rFonts w:ascii="Times New Roman" w:hAnsi="Times New Roman" w:cs="Times New Roman"/>
                <w:b/>
                <w:bCs/>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850F007" w14:textId="4CA1F8B2" w:rsidR="003A6530" w:rsidRPr="00AC41C6" w:rsidRDefault="00AC41C6" w:rsidP="003A6530">
            <w:pPr>
              <w:jc w:val="right"/>
              <w:rPr>
                <w:rFonts w:ascii="Times New Roman" w:hAnsi="Times New Roman" w:cs="Times New Roman"/>
                <w:b/>
                <w:bCs/>
                <w:lang w:val="hr-HR"/>
              </w:rPr>
            </w:pPr>
            <w:r w:rsidRPr="00AC41C6">
              <w:rPr>
                <w:rFonts w:ascii="Times New Roman" w:hAnsi="Times New Roman" w:cs="Times New Roman"/>
                <w:b/>
                <w:bCs/>
                <w:lang w:val="hr-HR"/>
              </w:rPr>
              <w:t>1.146,67</w:t>
            </w:r>
          </w:p>
        </w:tc>
        <w:tc>
          <w:tcPr>
            <w:tcW w:w="1134" w:type="dxa"/>
            <w:tcBorders>
              <w:top w:val="single" w:sz="4" w:space="0" w:color="auto"/>
              <w:left w:val="single" w:sz="4" w:space="0" w:color="auto"/>
              <w:bottom w:val="single" w:sz="4" w:space="0" w:color="auto"/>
              <w:right w:val="single" w:sz="4" w:space="0" w:color="auto"/>
            </w:tcBorders>
            <w:vAlign w:val="center"/>
          </w:tcPr>
          <w:p w14:paraId="2414ECE0" w14:textId="6C824A36" w:rsidR="003A6530" w:rsidRPr="009427E0" w:rsidRDefault="009427E0" w:rsidP="003A6530">
            <w:pPr>
              <w:jc w:val="right"/>
              <w:rPr>
                <w:rFonts w:ascii="Times New Roman" w:hAnsi="Times New Roman" w:cs="Times New Roman"/>
                <w:b/>
                <w:bCs/>
                <w:lang w:val="hr-HR"/>
              </w:rPr>
            </w:pPr>
            <w:r w:rsidRPr="009427E0">
              <w:rPr>
                <w:rFonts w:ascii="Times New Roman" w:hAnsi="Times New Roman" w:cs="Times New Roman"/>
                <w:b/>
                <w:bCs/>
                <w:lang w:val="hr-HR"/>
              </w:rPr>
              <w:t>386,21%</w:t>
            </w:r>
          </w:p>
        </w:tc>
        <w:tc>
          <w:tcPr>
            <w:tcW w:w="1276" w:type="dxa"/>
            <w:tcBorders>
              <w:top w:val="single" w:sz="4" w:space="0" w:color="auto"/>
              <w:left w:val="single" w:sz="4" w:space="0" w:color="auto"/>
              <w:bottom w:val="single" w:sz="4" w:space="0" w:color="auto"/>
              <w:right w:val="single" w:sz="4" w:space="0" w:color="auto"/>
            </w:tcBorders>
            <w:vAlign w:val="center"/>
          </w:tcPr>
          <w:p w14:paraId="51D006EB" w14:textId="204A90BD" w:rsidR="003A6530" w:rsidRPr="009427E0" w:rsidRDefault="009427E0" w:rsidP="003A6530">
            <w:pPr>
              <w:jc w:val="right"/>
              <w:rPr>
                <w:rFonts w:ascii="Times New Roman" w:hAnsi="Times New Roman" w:cs="Times New Roman"/>
                <w:b/>
                <w:bCs/>
                <w:lang w:val="hr-HR"/>
              </w:rPr>
            </w:pPr>
            <w:r w:rsidRPr="009427E0">
              <w:rPr>
                <w:rFonts w:ascii="Times New Roman" w:hAnsi="Times New Roman" w:cs="Times New Roman"/>
                <w:b/>
                <w:bCs/>
                <w:lang w:val="hr-HR"/>
              </w:rPr>
              <w:t>247,66</w:t>
            </w:r>
            <w:r w:rsidR="002A626E" w:rsidRPr="009427E0">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vAlign w:val="center"/>
          </w:tcPr>
          <w:p w14:paraId="34A65265" w14:textId="5626F2DC" w:rsidR="003A6530" w:rsidRPr="00363DCA" w:rsidRDefault="00D601DE" w:rsidP="003A6530">
            <w:pPr>
              <w:jc w:val="right"/>
              <w:rPr>
                <w:rFonts w:ascii="Times New Roman" w:hAnsi="Times New Roman" w:cs="Times New Roman"/>
                <w:b/>
                <w:bCs/>
                <w:highlight w:val="yellow"/>
                <w:lang w:val="hr-HR"/>
              </w:rPr>
            </w:pPr>
            <w:r w:rsidRPr="00D601DE">
              <w:rPr>
                <w:rFonts w:ascii="Times New Roman" w:hAnsi="Times New Roman" w:cs="Times New Roman"/>
                <w:b/>
                <w:bCs/>
                <w:lang w:val="hr-HR"/>
              </w:rPr>
              <w:t>0,14</w:t>
            </w:r>
            <w:r w:rsidR="002A626E" w:rsidRPr="00D601DE">
              <w:rPr>
                <w:rFonts w:ascii="Times New Roman" w:hAnsi="Times New Roman" w:cs="Times New Roman"/>
                <w:b/>
                <w:bCs/>
                <w:lang w:val="hr-HR"/>
              </w:rPr>
              <w:t>%</w:t>
            </w:r>
          </w:p>
        </w:tc>
      </w:tr>
      <w:tr w:rsidR="003A6530" w:rsidRPr="00E721E2" w14:paraId="3020B7BD" w14:textId="77777777" w:rsidTr="003A6530">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11C12" w14:textId="77777777" w:rsidR="003A6530" w:rsidRPr="00E721E2" w:rsidRDefault="003A6530" w:rsidP="003A6530">
            <w:pPr>
              <w:rPr>
                <w:rFonts w:ascii="Times New Roman" w:hAnsi="Times New Roman" w:cs="Times New Roman"/>
                <w:b/>
                <w:bCs/>
                <w:lang w:val="hr-HR"/>
              </w:rPr>
            </w:pPr>
            <w:r w:rsidRPr="00E721E2">
              <w:rPr>
                <w:rFonts w:ascii="Times New Roman" w:hAnsi="Times New Roman" w:cs="Times New Roman"/>
                <w:b/>
                <w:bCs/>
                <w:lang w:val="hr-HR"/>
              </w:rPr>
              <w:t>UKUPNO OSTVARENI PRIHODI</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EB77B" w14:textId="2846120E" w:rsidR="003A6530" w:rsidRPr="00AC41C6" w:rsidRDefault="00AC41C6" w:rsidP="003A6530">
            <w:pPr>
              <w:jc w:val="right"/>
              <w:rPr>
                <w:rFonts w:ascii="Times New Roman" w:hAnsi="Times New Roman" w:cs="Times New Roman"/>
                <w:b/>
                <w:bCs/>
                <w:lang w:val="hr-HR"/>
              </w:rPr>
            </w:pPr>
            <w:r w:rsidRPr="00AC41C6">
              <w:rPr>
                <w:rFonts w:ascii="Times New Roman" w:hAnsi="Times New Roman" w:cs="Times New Roman"/>
                <w:b/>
                <w:bCs/>
                <w:lang w:val="hr-HR"/>
              </w:rPr>
              <w:t>719.312,84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1B477" w14:textId="4EFAD7C3" w:rsidR="003A6530" w:rsidRPr="00AC41C6" w:rsidRDefault="007C408F" w:rsidP="003A6530">
            <w:pPr>
              <w:jc w:val="right"/>
              <w:rPr>
                <w:rFonts w:ascii="Times New Roman" w:hAnsi="Times New Roman" w:cs="Times New Roman"/>
                <w:b/>
                <w:bCs/>
                <w:lang w:val="hr-HR"/>
              </w:rPr>
            </w:pPr>
            <w:r w:rsidRPr="00AC41C6">
              <w:rPr>
                <w:rFonts w:ascii="Times New Roman" w:hAnsi="Times New Roman" w:cs="Times New Roman"/>
                <w:b/>
                <w:bCs/>
                <w:lang w:val="hr-HR"/>
              </w:rPr>
              <w:t>891.227</w:t>
            </w:r>
            <w:r w:rsidR="00E1530E" w:rsidRPr="00AC41C6">
              <w:rPr>
                <w:rFonts w:ascii="Times New Roman" w:hAnsi="Times New Roman" w:cs="Times New Roman"/>
                <w:b/>
                <w:bCs/>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4F759" w14:textId="28404604" w:rsidR="003A6530" w:rsidRPr="00AC41C6" w:rsidRDefault="00AC41C6" w:rsidP="003A6530">
            <w:pPr>
              <w:jc w:val="right"/>
              <w:rPr>
                <w:rFonts w:ascii="Times New Roman" w:hAnsi="Times New Roman" w:cs="Times New Roman"/>
                <w:b/>
                <w:bCs/>
                <w:color w:val="FF0000"/>
                <w:lang w:val="hr-HR"/>
              </w:rPr>
            </w:pPr>
            <w:r w:rsidRPr="00AC41C6">
              <w:rPr>
                <w:rFonts w:ascii="Times New Roman" w:hAnsi="Times New Roman" w:cs="Times New Roman"/>
                <w:b/>
                <w:bCs/>
                <w:lang w:val="hr-HR"/>
              </w:rPr>
              <w:t>825.485,50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1DB0F" w14:textId="156149D9" w:rsidR="003A6530" w:rsidRPr="00D57D12" w:rsidRDefault="009427E0" w:rsidP="003A6530">
            <w:pPr>
              <w:jc w:val="right"/>
              <w:rPr>
                <w:rFonts w:ascii="Times New Roman" w:hAnsi="Times New Roman" w:cs="Times New Roman"/>
                <w:b/>
                <w:bCs/>
                <w:lang w:val="hr-HR"/>
              </w:rPr>
            </w:pPr>
            <w:r w:rsidRPr="00D57D12">
              <w:rPr>
                <w:rFonts w:ascii="Times New Roman" w:hAnsi="Times New Roman" w:cs="Times New Roman"/>
                <w:b/>
                <w:bCs/>
                <w:lang w:val="hr-HR"/>
              </w:rPr>
              <w:t>114,76</w:t>
            </w:r>
            <w:r w:rsidR="003A6530" w:rsidRPr="00D57D12">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DC476" w14:textId="72F76D51" w:rsidR="003A6530" w:rsidRPr="00D57D12" w:rsidRDefault="00D57D12" w:rsidP="003A6530">
            <w:pPr>
              <w:jc w:val="right"/>
              <w:rPr>
                <w:rFonts w:ascii="Times New Roman" w:hAnsi="Times New Roman" w:cs="Times New Roman"/>
                <w:b/>
                <w:bCs/>
                <w:lang w:val="hr-HR"/>
              </w:rPr>
            </w:pPr>
            <w:r w:rsidRPr="00D57D12">
              <w:rPr>
                <w:rFonts w:ascii="Times New Roman" w:hAnsi="Times New Roman" w:cs="Times New Roman"/>
                <w:b/>
                <w:bCs/>
                <w:lang w:val="hr-HR"/>
              </w:rPr>
              <w:t>92,62</w:t>
            </w:r>
            <w:r w:rsidR="003A6530" w:rsidRPr="00D57D12">
              <w:rPr>
                <w:rFonts w:ascii="Times New Roman" w:hAnsi="Times New Roman" w:cs="Times New Roman"/>
                <w:b/>
                <w:bCs/>
                <w:lang w:val="hr-HR"/>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6C000" w14:textId="77777777" w:rsidR="003A6530" w:rsidRPr="00363DCA" w:rsidRDefault="003A6530" w:rsidP="003A6530">
            <w:pPr>
              <w:jc w:val="right"/>
              <w:rPr>
                <w:rFonts w:ascii="Times New Roman" w:hAnsi="Times New Roman" w:cs="Times New Roman"/>
                <w:b/>
                <w:bCs/>
                <w:highlight w:val="yellow"/>
                <w:lang w:val="hr-HR"/>
              </w:rPr>
            </w:pPr>
            <w:r w:rsidRPr="00D601DE">
              <w:rPr>
                <w:rFonts w:ascii="Times New Roman" w:hAnsi="Times New Roman" w:cs="Times New Roman"/>
                <w:b/>
                <w:bCs/>
                <w:lang w:val="hr-HR"/>
              </w:rPr>
              <w:t>100,00%</w:t>
            </w:r>
          </w:p>
        </w:tc>
      </w:tr>
    </w:tbl>
    <w:p w14:paraId="72358B53" w14:textId="77777777" w:rsidR="00803102" w:rsidRDefault="00803102" w:rsidP="00803102">
      <w:pPr>
        <w:spacing w:line="240" w:lineRule="auto"/>
        <w:rPr>
          <w:rFonts w:ascii="Times New Roman" w:hAnsi="Times New Roman" w:cs="Times New Roman"/>
          <w:sz w:val="24"/>
          <w:szCs w:val="24"/>
        </w:rPr>
      </w:pPr>
    </w:p>
    <w:p w14:paraId="0F079936" w14:textId="77777777" w:rsidR="00024391" w:rsidRDefault="00024391" w:rsidP="00803102">
      <w:pPr>
        <w:spacing w:line="240" w:lineRule="auto"/>
        <w:rPr>
          <w:rFonts w:ascii="Times New Roman" w:hAnsi="Times New Roman" w:cs="Times New Roman"/>
          <w:sz w:val="24"/>
          <w:szCs w:val="24"/>
        </w:rPr>
      </w:pPr>
    </w:p>
    <w:p w14:paraId="18EB5C0A" w14:textId="77777777" w:rsidR="00024391" w:rsidRDefault="00024391" w:rsidP="00803102">
      <w:pPr>
        <w:spacing w:line="240" w:lineRule="auto"/>
        <w:rPr>
          <w:rFonts w:ascii="Times New Roman" w:hAnsi="Times New Roman" w:cs="Times New Roman"/>
          <w:sz w:val="24"/>
          <w:szCs w:val="24"/>
        </w:rPr>
      </w:pPr>
    </w:p>
    <w:p w14:paraId="02E1A294" w14:textId="77777777" w:rsidR="00024391" w:rsidRDefault="00024391" w:rsidP="00803102">
      <w:pPr>
        <w:spacing w:line="240" w:lineRule="auto"/>
        <w:rPr>
          <w:rFonts w:ascii="Times New Roman" w:hAnsi="Times New Roman" w:cs="Times New Roman"/>
          <w:sz w:val="24"/>
          <w:szCs w:val="24"/>
        </w:rPr>
      </w:pPr>
    </w:p>
    <w:p w14:paraId="5C768DD7" w14:textId="77777777" w:rsidR="00024391" w:rsidRDefault="00024391" w:rsidP="00803102">
      <w:pPr>
        <w:spacing w:line="240" w:lineRule="auto"/>
        <w:rPr>
          <w:rFonts w:ascii="Times New Roman" w:hAnsi="Times New Roman" w:cs="Times New Roman"/>
          <w:sz w:val="24"/>
          <w:szCs w:val="24"/>
        </w:rPr>
      </w:pPr>
    </w:p>
    <w:p w14:paraId="7E6EEA22" w14:textId="77777777" w:rsidR="00024391" w:rsidRDefault="00024391" w:rsidP="00803102">
      <w:pPr>
        <w:spacing w:line="240" w:lineRule="auto"/>
        <w:rPr>
          <w:rFonts w:ascii="Times New Roman" w:hAnsi="Times New Roman" w:cs="Times New Roman"/>
          <w:sz w:val="24"/>
          <w:szCs w:val="24"/>
        </w:rPr>
      </w:pPr>
    </w:p>
    <w:p w14:paraId="5D0E577D" w14:textId="77777777" w:rsidR="00024391" w:rsidRDefault="00024391" w:rsidP="00803102">
      <w:pPr>
        <w:spacing w:line="240" w:lineRule="auto"/>
        <w:rPr>
          <w:rFonts w:ascii="Times New Roman" w:hAnsi="Times New Roman" w:cs="Times New Roman"/>
          <w:sz w:val="24"/>
          <w:szCs w:val="24"/>
        </w:rPr>
      </w:pPr>
    </w:p>
    <w:p w14:paraId="36B4B4D8" w14:textId="77777777" w:rsidR="00024391" w:rsidRDefault="00024391" w:rsidP="00803102">
      <w:pPr>
        <w:spacing w:line="240" w:lineRule="auto"/>
        <w:rPr>
          <w:rFonts w:ascii="Times New Roman" w:hAnsi="Times New Roman" w:cs="Times New Roman"/>
          <w:sz w:val="24"/>
          <w:szCs w:val="24"/>
        </w:rPr>
      </w:pPr>
    </w:p>
    <w:p w14:paraId="028528B1" w14:textId="77777777" w:rsidR="008D1232" w:rsidRDefault="008D1232" w:rsidP="00803102">
      <w:pPr>
        <w:spacing w:line="240" w:lineRule="auto"/>
        <w:rPr>
          <w:rFonts w:ascii="Times New Roman" w:hAnsi="Times New Roman" w:cs="Times New Roman"/>
          <w:sz w:val="24"/>
          <w:szCs w:val="24"/>
        </w:rPr>
      </w:pPr>
    </w:p>
    <w:p w14:paraId="55C160BB" w14:textId="77777777" w:rsidR="00024391" w:rsidRPr="00E721E2" w:rsidRDefault="00024391" w:rsidP="00803102">
      <w:pPr>
        <w:spacing w:line="240" w:lineRule="auto"/>
        <w:rPr>
          <w:rFonts w:ascii="Times New Roman" w:hAnsi="Times New Roman" w:cs="Times New Roman"/>
          <w:sz w:val="24"/>
          <w:szCs w:val="24"/>
        </w:rPr>
      </w:pPr>
    </w:p>
    <w:p w14:paraId="58CDF5A1" w14:textId="62376575" w:rsidR="00803102" w:rsidRDefault="00803102" w:rsidP="00803102">
      <w:pPr>
        <w:spacing w:after="0" w:line="240" w:lineRule="auto"/>
        <w:jc w:val="center"/>
        <w:rPr>
          <w:rFonts w:ascii="Times New Roman" w:hAnsi="Times New Roman" w:cs="Times New Roman"/>
          <w:sz w:val="24"/>
          <w:szCs w:val="24"/>
        </w:rPr>
      </w:pPr>
      <w:r w:rsidRPr="00CC673D">
        <w:rPr>
          <w:rFonts w:ascii="Times New Roman" w:hAnsi="Times New Roman" w:cs="Times New Roman"/>
          <w:sz w:val="24"/>
          <w:szCs w:val="24"/>
        </w:rPr>
        <w:lastRenderedPageBreak/>
        <w:t>Grafikon 2. Prihodi za 202</w:t>
      </w:r>
      <w:r w:rsidR="00381A95" w:rsidRPr="00CC673D">
        <w:rPr>
          <w:rFonts w:ascii="Times New Roman" w:hAnsi="Times New Roman" w:cs="Times New Roman"/>
          <w:sz w:val="24"/>
          <w:szCs w:val="24"/>
        </w:rPr>
        <w:t>4</w:t>
      </w:r>
      <w:r w:rsidRPr="00CC673D">
        <w:rPr>
          <w:rFonts w:ascii="Times New Roman" w:hAnsi="Times New Roman" w:cs="Times New Roman"/>
          <w:sz w:val="24"/>
          <w:szCs w:val="24"/>
        </w:rPr>
        <w:t>. godinu prema strukturi</w:t>
      </w:r>
    </w:p>
    <w:p w14:paraId="73A084D3" w14:textId="77777777" w:rsidR="001A1606" w:rsidRPr="00CC673D" w:rsidRDefault="001A1606" w:rsidP="00803102">
      <w:pPr>
        <w:spacing w:after="0" w:line="240" w:lineRule="auto"/>
        <w:jc w:val="center"/>
        <w:rPr>
          <w:rFonts w:ascii="Times New Roman" w:hAnsi="Times New Roman" w:cs="Times New Roman"/>
          <w:sz w:val="24"/>
          <w:szCs w:val="24"/>
        </w:rPr>
      </w:pPr>
    </w:p>
    <w:p w14:paraId="23A25A82" w14:textId="7002347E" w:rsidR="00382ACB" w:rsidRDefault="00382ACB" w:rsidP="00803102">
      <w:pPr>
        <w:spacing w:after="0" w:line="240" w:lineRule="auto"/>
        <w:jc w:val="center"/>
        <w:rPr>
          <w:rFonts w:ascii="Times New Roman" w:hAnsi="Times New Roman" w:cs="Times New Roman"/>
          <w:sz w:val="24"/>
          <w:szCs w:val="24"/>
        </w:rPr>
      </w:pPr>
      <w:r>
        <w:rPr>
          <w:noProof/>
        </w:rPr>
        <w:drawing>
          <wp:inline distT="0" distB="0" distL="0" distR="0" wp14:anchorId="1FA4BF9C" wp14:editId="459CC32C">
            <wp:extent cx="4993419" cy="2051437"/>
            <wp:effectExtent l="0" t="0" r="17145" b="6350"/>
            <wp:docPr id="693809362" name="Grafikon 1">
              <a:extLst xmlns:a="http://schemas.openxmlformats.org/drawingml/2006/main">
                <a:ext uri="{FF2B5EF4-FFF2-40B4-BE49-F238E27FC236}">
                  <a16:creationId xmlns:a16="http://schemas.microsoft.com/office/drawing/2014/main" id="{EF960710-F99D-4D35-95CC-05AAE685D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CAEFEE" w14:textId="77777777" w:rsidR="001D0292" w:rsidRDefault="001D0292" w:rsidP="001D5521">
      <w:pPr>
        <w:spacing w:after="0" w:line="240" w:lineRule="auto"/>
        <w:rPr>
          <w:rFonts w:ascii="Times New Roman" w:hAnsi="Times New Roman" w:cs="Times New Roman"/>
          <w:b/>
          <w:bCs/>
          <w:color w:val="538135" w:themeColor="accent6" w:themeShade="BF"/>
          <w:sz w:val="24"/>
          <w:szCs w:val="24"/>
        </w:rPr>
      </w:pPr>
    </w:p>
    <w:p w14:paraId="33F28FA0" w14:textId="3396305C" w:rsidR="00803102" w:rsidRPr="00C25598" w:rsidRDefault="00C25598" w:rsidP="001D55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r w:rsidR="001D5521" w:rsidRPr="00C25598">
        <w:rPr>
          <w:rFonts w:ascii="Times New Roman" w:hAnsi="Times New Roman" w:cs="Times New Roman"/>
          <w:b/>
          <w:bCs/>
          <w:sz w:val="24"/>
          <w:szCs w:val="24"/>
        </w:rPr>
        <w:t xml:space="preserve">2. </w:t>
      </w:r>
      <w:r w:rsidR="00803102" w:rsidRPr="00C25598">
        <w:rPr>
          <w:rFonts w:ascii="Times New Roman" w:hAnsi="Times New Roman" w:cs="Times New Roman"/>
          <w:b/>
          <w:bCs/>
          <w:sz w:val="24"/>
          <w:szCs w:val="24"/>
        </w:rPr>
        <w:t>RASHODI</w:t>
      </w:r>
    </w:p>
    <w:p w14:paraId="7B7CB281" w14:textId="77777777" w:rsidR="00803102" w:rsidRPr="00E721E2" w:rsidRDefault="00803102" w:rsidP="00803102">
      <w:pPr>
        <w:pStyle w:val="ListParagraph"/>
        <w:spacing w:after="0" w:line="240" w:lineRule="auto"/>
        <w:ind w:left="1080"/>
        <w:rPr>
          <w:rFonts w:ascii="Times New Roman" w:hAnsi="Times New Roman" w:cs="Times New Roman"/>
          <w:b/>
          <w:bCs/>
          <w:sz w:val="24"/>
          <w:szCs w:val="24"/>
          <w:u w:val="single"/>
        </w:rPr>
      </w:pPr>
    </w:p>
    <w:p w14:paraId="79D906B4" w14:textId="58F587E0" w:rsidR="00803102" w:rsidRPr="00E721E2" w:rsidRDefault="00803102" w:rsidP="00803102">
      <w:pPr>
        <w:spacing w:after="0" w:line="240" w:lineRule="auto"/>
        <w:jc w:val="both"/>
        <w:rPr>
          <w:rFonts w:ascii="Times New Roman" w:hAnsi="Times New Roman"/>
          <w:sz w:val="24"/>
          <w:szCs w:val="24"/>
        </w:rPr>
      </w:pPr>
      <w:r w:rsidRPr="00E721E2">
        <w:rPr>
          <w:rFonts w:ascii="Times New Roman" w:hAnsi="Times New Roman"/>
          <w:sz w:val="24"/>
          <w:szCs w:val="24"/>
        </w:rPr>
        <w:t>U razdoblju od 01.01. do 3</w:t>
      </w:r>
      <w:r w:rsidR="00382ACB">
        <w:rPr>
          <w:rFonts w:ascii="Times New Roman" w:hAnsi="Times New Roman"/>
          <w:sz w:val="24"/>
          <w:szCs w:val="24"/>
        </w:rPr>
        <w:t>1</w:t>
      </w:r>
      <w:r w:rsidRPr="00E721E2">
        <w:rPr>
          <w:rFonts w:ascii="Times New Roman" w:hAnsi="Times New Roman"/>
          <w:sz w:val="24"/>
          <w:szCs w:val="24"/>
        </w:rPr>
        <w:t>.</w:t>
      </w:r>
      <w:r w:rsidR="00382ACB">
        <w:rPr>
          <w:rFonts w:ascii="Times New Roman" w:hAnsi="Times New Roman"/>
          <w:sz w:val="24"/>
          <w:szCs w:val="24"/>
        </w:rPr>
        <w:t>12</w:t>
      </w:r>
      <w:r w:rsidRPr="00E721E2">
        <w:rPr>
          <w:rFonts w:ascii="Times New Roman" w:hAnsi="Times New Roman"/>
          <w:sz w:val="24"/>
          <w:szCs w:val="24"/>
        </w:rPr>
        <w:t>.202</w:t>
      </w:r>
      <w:r w:rsidR="0002046F" w:rsidRPr="00E721E2">
        <w:rPr>
          <w:rFonts w:ascii="Times New Roman" w:hAnsi="Times New Roman"/>
          <w:sz w:val="24"/>
          <w:szCs w:val="24"/>
        </w:rPr>
        <w:t>4</w:t>
      </w:r>
      <w:r w:rsidRPr="00E721E2">
        <w:rPr>
          <w:rFonts w:ascii="Times New Roman" w:hAnsi="Times New Roman"/>
          <w:sz w:val="24"/>
          <w:szCs w:val="24"/>
        </w:rPr>
        <w:t xml:space="preserve">. godine Razvojna agencija PORA KKŽ ostvarila je  rashode u iznosu od </w:t>
      </w:r>
      <w:r w:rsidR="00E93F38">
        <w:rPr>
          <w:rFonts w:ascii="Times New Roman" w:hAnsi="Times New Roman"/>
          <w:sz w:val="24"/>
          <w:szCs w:val="24"/>
        </w:rPr>
        <w:t>737.957,17</w:t>
      </w:r>
      <w:r w:rsidRPr="00E721E2">
        <w:rPr>
          <w:rFonts w:ascii="Times New Roman" w:hAnsi="Times New Roman" w:cs="Times New Roman"/>
          <w:sz w:val="24"/>
          <w:szCs w:val="24"/>
        </w:rPr>
        <w:t xml:space="preserve"> </w:t>
      </w:r>
      <w:r w:rsidR="00AD118F" w:rsidRPr="00E721E2">
        <w:rPr>
          <w:rFonts w:ascii="Times New Roman" w:hAnsi="Times New Roman" w:cs="Times New Roman"/>
          <w:sz w:val="24"/>
          <w:szCs w:val="24"/>
        </w:rPr>
        <w:t>eura</w:t>
      </w:r>
      <w:r w:rsidRPr="00E721E2">
        <w:rPr>
          <w:rFonts w:ascii="Times New Roman" w:hAnsi="Times New Roman"/>
          <w:sz w:val="24"/>
          <w:szCs w:val="24"/>
        </w:rPr>
        <w:t xml:space="preserve">, što iznosi </w:t>
      </w:r>
      <w:r w:rsidR="00E93F38">
        <w:rPr>
          <w:rFonts w:ascii="Times New Roman" w:hAnsi="Times New Roman"/>
          <w:sz w:val="24"/>
          <w:szCs w:val="24"/>
        </w:rPr>
        <w:t>89,44</w:t>
      </w:r>
      <w:r w:rsidRPr="00E721E2">
        <w:rPr>
          <w:rFonts w:ascii="Times New Roman" w:hAnsi="Times New Roman"/>
          <w:sz w:val="24"/>
          <w:szCs w:val="24"/>
        </w:rPr>
        <w:t xml:space="preserve">% ukupno planiranih rashoda. </w:t>
      </w:r>
    </w:p>
    <w:p w14:paraId="2E53ED2D" w14:textId="77777777" w:rsidR="005B66D2" w:rsidRPr="00E721E2" w:rsidRDefault="005B66D2" w:rsidP="00803102">
      <w:pPr>
        <w:spacing w:after="0" w:line="240" w:lineRule="auto"/>
        <w:jc w:val="both"/>
        <w:rPr>
          <w:rFonts w:ascii="Times New Roman" w:hAnsi="Times New Roman"/>
          <w:color w:val="FF0000"/>
          <w:sz w:val="24"/>
          <w:szCs w:val="24"/>
        </w:rPr>
      </w:pPr>
    </w:p>
    <w:p w14:paraId="0843BD3E" w14:textId="77777777" w:rsidR="00BF5AD3" w:rsidRPr="00E721E2" w:rsidRDefault="00BF5AD3" w:rsidP="00803102">
      <w:pPr>
        <w:spacing w:after="0" w:line="240" w:lineRule="auto"/>
        <w:jc w:val="both"/>
        <w:rPr>
          <w:rFonts w:ascii="Times New Roman" w:hAnsi="Times New Roman"/>
          <w:color w:val="FF0000"/>
          <w:sz w:val="24"/>
          <w:szCs w:val="24"/>
        </w:rPr>
      </w:pPr>
    </w:p>
    <w:p w14:paraId="48446F04" w14:textId="705F0942" w:rsidR="00803102" w:rsidRPr="00E721E2" w:rsidRDefault="00803102" w:rsidP="00803102">
      <w:pPr>
        <w:spacing w:after="0" w:line="240" w:lineRule="auto"/>
        <w:ind w:left="-709"/>
        <w:rPr>
          <w:rFonts w:ascii="Times New Roman" w:hAnsi="Times New Roman" w:cs="Times New Roman"/>
          <w:sz w:val="24"/>
          <w:szCs w:val="24"/>
        </w:rPr>
      </w:pPr>
      <w:r w:rsidRPr="00E721E2">
        <w:rPr>
          <w:rFonts w:ascii="Times New Roman" w:hAnsi="Times New Roman" w:cs="Times New Roman"/>
          <w:sz w:val="24"/>
          <w:szCs w:val="24"/>
        </w:rPr>
        <w:t xml:space="preserve">Tablica </w:t>
      </w:r>
      <w:r w:rsidR="00413EE5">
        <w:rPr>
          <w:rFonts w:ascii="Times New Roman" w:hAnsi="Times New Roman" w:cs="Times New Roman"/>
          <w:sz w:val="24"/>
          <w:szCs w:val="24"/>
        </w:rPr>
        <w:t>3</w:t>
      </w:r>
      <w:r w:rsidRPr="00E721E2">
        <w:rPr>
          <w:rFonts w:ascii="Times New Roman" w:hAnsi="Times New Roman" w:cs="Times New Roman"/>
          <w:sz w:val="24"/>
          <w:szCs w:val="24"/>
        </w:rPr>
        <w:t>. Pregled rashoda za 202</w:t>
      </w:r>
      <w:r w:rsidR="00BF5AD3" w:rsidRPr="00E721E2">
        <w:rPr>
          <w:rFonts w:ascii="Times New Roman" w:hAnsi="Times New Roman" w:cs="Times New Roman"/>
          <w:sz w:val="24"/>
          <w:szCs w:val="24"/>
        </w:rPr>
        <w:t>3</w:t>
      </w:r>
      <w:r w:rsidRPr="00E721E2">
        <w:rPr>
          <w:rFonts w:ascii="Times New Roman" w:hAnsi="Times New Roman" w:cs="Times New Roman"/>
          <w:sz w:val="24"/>
          <w:szCs w:val="24"/>
        </w:rPr>
        <w:t>. i 202</w:t>
      </w:r>
      <w:r w:rsidR="00BF5AD3" w:rsidRPr="00E721E2">
        <w:rPr>
          <w:rFonts w:ascii="Times New Roman" w:hAnsi="Times New Roman" w:cs="Times New Roman"/>
          <w:sz w:val="24"/>
          <w:szCs w:val="24"/>
        </w:rPr>
        <w:t>4</w:t>
      </w:r>
      <w:r w:rsidRPr="00E721E2">
        <w:rPr>
          <w:rFonts w:ascii="Times New Roman" w:hAnsi="Times New Roman" w:cs="Times New Roman"/>
          <w:sz w:val="24"/>
          <w:szCs w:val="24"/>
        </w:rPr>
        <w:t>. godinu</w:t>
      </w:r>
    </w:p>
    <w:tbl>
      <w:tblPr>
        <w:tblStyle w:val="TableGrid"/>
        <w:tblW w:w="10490" w:type="dxa"/>
        <w:jc w:val="center"/>
        <w:tblLayout w:type="fixed"/>
        <w:tblLook w:val="04A0" w:firstRow="1" w:lastRow="0" w:firstColumn="1" w:lastColumn="0" w:noHBand="0" w:noVBand="1"/>
      </w:tblPr>
      <w:tblGrid>
        <w:gridCol w:w="2263"/>
        <w:gridCol w:w="1560"/>
        <w:gridCol w:w="1559"/>
        <w:gridCol w:w="1559"/>
        <w:gridCol w:w="1134"/>
        <w:gridCol w:w="1134"/>
        <w:gridCol w:w="1281"/>
      </w:tblGrid>
      <w:tr w:rsidR="00803102" w:rsidRPr="00E721E2" w14:paraId="3BE0552E" w14:textId="77777777" w:rsidTr="0018785A">
        <w:trPr>
          <w:trHeight w:val="531"/>
          <w:jc w:val="center"/>
        </w:trPr>
        <w:tc>
          <w:tcPr>
            <w:tcW w:w="2263" w:type="dxa"/>
            <w:shd w:val="clear" w:color="auto" w:fill="E7E6E6" w:themeFill="background2"/>
            <w:vAlign w:val="center"/>
          </w:tcPr>
          <w:p w14:paraId="0463BD61"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Opis</w:t>
            </w:r>
          </w:p>
        </w:tc>
        <w:tc>
          <w:tcPr>
            <w:tcW w:w="1560" w:type="dxa"/>
            <w:shd w:val="clear" w:color="auto" w:fill="E7E6E6" w:themeFill="background2"/>
            <w:vAlign w:val="center"/>
          </w:tcPr>
          <w:p w14:paraId="0164EC50" w14:textId="03792B26"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Izvršenje 202</w:t>
            </w:r>
            <w:r w:rsidR="00BF5AD3" w:rsidRPr="00E721E2">
              <w:rPr>
                <w:rFonts w:ascii="Times New Roman" w:hAnsi="Times New Roman" w:cs="Times New Roman"/>
                <w:b/>
                <w:bCs/>
                <w:lang w:val="hr-HR"/>
              </w:rPr>
              <w:t>3</w:t>
            </w:r>
            <w:r w:rsidRPr="00E721E2">
              <w:rPr>
                <w:rFonts w:ascii="Times New Roman" w:hAnsi="Times New Roman" w:cs="Times New Roman"/>
                <w:b/>
                <w:bCs/>
                <w:lang w:val="hr-HR"/>
              </w:rPr>
              <w:t>.</w:t>
            </w:r>
          </w:p>
        </w:tc>
        <w:tc>
          <w:tcPr>
            <w:tcW w:w="1559" w:type="dxa"/>
            <w:shd w:val="clear" w:color="auto" w:fill="E7E6E6" w:themeFill="background2"/>
            <w:vAlign w:val="center"/>
          </w:tcPr>
          <w:p w14:paraId="17CA63C6" w14:textId="6E755D89"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Tekući plan 202</w:t>
            </w:r>
            <w:r w:rsidR="00BF5AD3" w:rsidRPr="00E721E2">
              <w:rPr>
                <w:rFonts w:ascii="Times New Roman" w:hAnsi="Times New Roman" w:cs="Times New Roman"/>
                <w:b/>
                <w:bCs/>
                <w:lang w:val="hr-HR"/>
              </w:rPr>
              <w:t>4</w:t>
            </w:r>
            <w:r w:rsidRPr="00E721E2">
              <w:rPr>
                <w:rFonts w:ascii="Times New Roman" w:hAnsi="Times New Roman" w:cs="Times New Roman"/>
                <w:b/>
                <w:bCs/>
                <w:lang w:val="hr-HR"/>
              </w:rPr>
              <w:t>.</w:t>
            </w:r>
          </w:p>
        </w:tc>
        <w:tc>
          <w:tcPr>
            <w:tcW w:w="1559" w:type="dxa"/>
            <w:shd w:val="clear" w:color="auto" w:fill="E7E6E6" w:themeFill="background2"/>
            <w:vAlign w:val="center"/>
          </w:tcPr>
          <w:p w14:paraId="4A626AF0" w14:textId="2FA15B9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Izvršenje 202</w:t>
            </w:r>
            <w:r w:rsidR="00BF5AD3" w:rsidRPr="00E721E2">
              <w:rPr>
                <w:rFonts w:ascii="Times New Roman" w:hAnsi="Times New Roman" w:cs="Times New Roman"/>
                <w:b/>
                <w:bCs/>
                <w:lang w:val="hr-HR"/>
              </w:rPr>
              <w:t>4</w:t>
            </w:r>
            <w:r w:rsidRPr="00E721E2">
              <w:rPr>
                <w:rFonts w:ascii="Times New Roman" w:hAnsi="Times New Roman" w:cs="Times New Roman"/>
                <w:b/>
                <w:bCs/>
                <w:lang w:val="hr-HR"/>
              </w:rPr>
              <w:t>.</w:t>
            </w:r>
          </w:p>
        </w:tc>
        <w:tc>
          <w:tcPr>
            <w:tcW w:w="1134" w:type="dxa"/>
            <w:shd w:val="clear" w:color="auto" w:fill="E7E6E6" w:themeFill="background2"/>
            <w:vAlign w:val="center"/>
          </w:tcPr>
          <w:p w14:paraId="3CAD4D85"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Indeks</w:t>
            </w:r>
          </w:p>
          <w:p w14:paraId="5F83BEAE"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4/2</w:t>
            </w:r>
          </w:p>
        </w:tc>
        <w:tc>
          <w:tcPr>
            <w:tcW w:w="1134" w:type="dxa"/>
            <w:shd w:val="clear" w:color="auto" w:fill="E7E6E6" w:themeFill="background2"/>
            <w:vAlign w:val="center"/>
          </w:tcPr>
          <w:p w14:paraId="5C371178"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Indeks</w:t>
            </w:r>
          </w:p>
          <w:p w14:paraId="47A616E3"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4/3</w:t>
            </w:r>
          </w:p>
        </w:tc>
        <w:tc>
          <w:tcPr>
            <w:tcW w:w="1281" w:type="dxa"/>
            <w:shd w:val="clear" w:color="auto" w:fill="E7E6E6" w:themeFill="background2"/>
            <w:vAlign w:val="center"/>
          </w:tcPr>
          <w:p w14:paraId="49C8EAB1" w14:textId="23688179"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Struktura  rashoda 202</w:t>
            </w:r>
            <w:r w:rsidR="00BF5AD3" w:rsidRPr="00E721E2">
              <w:rPr>
                <w:rFonts w:ascii="Times New Roman" w:hAnsi="Times New Roman" w:cs="Times New Roman"/>
                <w:b/>
                <w:bCs/>
                <w:lang w:val="hr-HR"/>
              </w:rPr>
              <w:t>4</w:t>
            </w:r>
            <w:r w:rsidRPr="00E721E2">
              <w:rPr>
                <w:rFonts w:ascii="Times New Roman" w:hAnsi="Times New Roman" w:cs="Times New Roman"/>
                <w:b/>
                <w:bCs/>
                <w:lang w:val="hr-HR"/>
              </w:rPr>
              <w:t>.</w:t>
            </w:r>
          </w:p>
        </w:tc>
      </w:tr>
      <w:tr w:rsidR="00803102" w:rsidRPr="00E721E2" w14:paraId="6CB3920A" w14:textId="77777777" w:rsidTr="00510BD8">
        <w:trPr>
          <w:jc w:val="center"/>
        </w:trPr>
        <w:tc>
          <w:tcPr>
            <w:tcW w:w="2263" w:type="dxa"/>
          </w:tcPr>
          <w:p w14:paraId="28308720"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1</w:t>
            </w:r>
          </w:p>
        </w:tc>
        <w:tc>
          <w:tcPr>
            <w:tcW w:w="1560" w:type="dxa"/>
          </w:tcPr>
          <w:p w14:paraId="68BCA00D"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2</w:t>
            </w:r>
          </w:p>
        </w:tc>
        <w:tc>
          <w:tcPr>
            <w:tcW w:w="1559" w:type="dxa"/>
          </w:tcPr>
          <w:p w14:paraId="2755133A"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3</w:t>
            </w:r>
          </w:p>
        </w:tc>
        <w:tc>
          <w:tcPr>
            <w:tcW w:w="1559" w:type="dxa"/>
          </w:tcPr>
          <w:p w14:paraId="05CF5F42"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4</w:t>
            </w:r>
          </w:p>
        </w:tc>
        <w:tc>
          <w:tcPr>
            <w:tcW w:w="1134" w:type="dxa"/>
          </w:tcPr>
          <w:p w14:paraId="7F860984"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5</w:t>
            </w:r>
          </w:p>
        </w:tc>
        <w:tc>
          <w:tcPr>
            <w:tcW w:w="1134" w:type="dxa"/>
          </w:tcPr>
          <w:p w14:paraId="5428030A"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6</w:t>
            </w:r>
          </w:p>
        </w:tc>
        <w:tc>
          <w:tcPr>
            <w:tcW w:w="1281" w:type="dxa"/>
          </w:tcPr>
          <w:p w14:paraId="1E097AAA" w14:textId="77777777" w:rsidR="00803102" w:rsidRPr="00E721E2" w:rsidRDefault="00803102" w:rsidP="00C15CC1">
            <w:pPr>
              <w:jc w:val="center"/>
              <w:rPr>
                <w:rFonts w:ascii="Times New Roman" w:hAnsi="Times New Roman" w:cs="Times New Roman"/>
                <w:b/>
                <w:bCs/>
                <w:lang w:val="hr-HR"/>
              </w:rPr>
            </w:pPr>
            <w:r w:rsidRPr="00E721E2">
              <w:rPr>
                <w:rFonts w:ascii="Times New Roman" w:hAnsi="Times New Roman" w:cs="Times New Roman"/>
                <w:b/>
                <w:bCs/>
                <w:lang w:val="hr-HR"/>
              </w:rPr>
              <w:t>7</w:t>
            </w:r>
          </w:p>
        </w:tc>
      </w:tr>
      <w:tr w:rsidR="00803102" w:rsidRPr="00E721E2" w14:paraId="1C4E7892" w14:textId="77777777" w:rsidTr="00510BD8">
        <w:trPr>
          <w:jc w:val="center"/>
        </w:trPr>
        <w:tc>
          <w:tcPr>
            <w:tcW w:w="2263" w:type="dxa"/>
          </w:tcPr>
          <w:p w14:paraId="3FF67202" w14:textId="77777777" w:rsidR="00803102" w:rsidRPr="00E721E2" w:rsidRDefault="00803102" w:rsidP="00C15CC1">
            <w:pPr>
              <w:rPr>
                <w:rFonts w:ascii="Times New Roman" w:hAnsi="Times New Roman" w:cs="Times New Roman"/>
                <w:b/>
                <w:bCs/>
                <w:lang w:val="hr-HR"/>
              </w:rPr>
            </w:pPr>
            <w:r w:rsidRPr="00E721E2">
              <w:rPr>
                <w:rFonts w:ascii="Times New Roman" w:hAnsi="Times New Roman" w:cs="Times New Roman"/>
                <w:b/>
                <w:bCs/>
                <w:lang w:val="hr-HR"/>
              </w:rPr>
              <w:t>RASHODI</w:t>
            </w:r>
          </w:p>
        </w:tc>
        <w:tc>
          <w:tcPr>
            <w:tcW w:w="1560" w:type="dxa"/>
          </w:tcPr>
          <w:p w14:paraId="6C80919D" w14:textId="567FEBD6" w:rsidR="00803102" w:rsidRPr="00E93F38" w:rsidRDefault="00E93F38" w:rsidP="00C15CC1">
            <w:pPr>
              <w:jc w:val="right"/>
              <w:rPr>
                <w:rFonts w:ascii="Times New Roman" w:hAnsi="Times New Roman" w:cs="Times New Roman"/>
                <w:b/>
                <w:bCs/>
                <w:highlight w:val="yellow"/>
                <w:lang w:val="hr-HR"/>
              </w:rPr>
            </w:pPr>
            <w:r w:rsidRPr="00E93F38">
              <w:rPr>
                <w:rFonts w:ascii="Times New Roman" w:hAnsi="Times New Roman" w:cs="Times New Roman"/>
                <w:b/>
                <w:bCs/>
                <w:lang w:val="hr-HR"/>
              </w:rPr>
              <w:t>720</w:t>
            </w:r>
            <w:r w:rsidR="00BF5AD3" w:rsidRPr="00E93F38">
              <w:rPr>
                <w:rFonts w:ascii="Times New Roman" w:hAnsi="Times New Roman" w:cs="Times New Roman"/>
                <w:b/>
                <w:bCs/>
                <w:lang w:val="hr-HR"/>
              </w:rPr>
              <w:t>.</w:t>
            </w:r>
            <w:r w:rsidRPr="00E93F38">
              <w:rPr>
                <w:rFonts w:ascii="Times New Roman" w:hAnsi="Times New Roman" w:cs="Times New Roman"/>
                <w:b/>
                <w:bCs/>
                <w:lang w:val="hr-HR"/>
              </w:rPr>
              <w:t>666,94</w:t>
            </w:r>
          </w:p>
        </w:tc>
        <w:tc>
          <w:tcPr>
            <w:tcW w:w="1559" w:type="dxa"/>
          </w:tcPr>
          <w:p w14:paraId="1B5F1A8A" w14:textId="3A749B9C" w:rsidR="00803102" w:rsidRPr="00E93F38" w:rsidRDefault="00BF5AD3" w:rsidP="00C15CC1">
            <w:pPr>
              <w:jc w:val="right"/>
              <w:rPr>
                <w:rFonts w:ascii="Times New Roman" w:hAnsi="Times New Roman" w:cs="Times New Roman"/>
                <w:b/>
                <w:bCs/>
                <w:lang w:val="hr-HR"/>
              </w:rPr>
            </w:pPr>
            <w:r w:rsidRPr="00E93F38">
              <w:rPr>
                <w:rFonts w:ascii="Times New Roman" w:hAnsi="Times New Roman" w:cs="Times New Roman"/>
                <w:b/>
                <w:bCs/>
                <w:lang w:val="hr-HR"/>
              </w:rPr>
              <w:t>825.060</w:t>
            </w:r>
            <w:r w:rsidR="00803102" w:rsidRPr="00E93F38">
              <w:rPr>
                <w:rFonts w:ascii="Times New Roman" w:hAnsi="Times New Roman" w:cs="Times New Roman"/>
                <w:b/>
                <w:bCs/>
                <w:lang w:val="hr-HR"/>
              </w:rPr>
              <w:t>,00</w:t>
            </w:r>
          </w:p>
        </w:tc>
        <w:tc>
          <w:tcPr>
            <w:tcW w:w="1559" w:type="dxa"/>
          </w:tcPr>
          <w:p w14:paraId="2A89E631" w14:textId="6732C60C"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737.957,17</w:t>
            </w:r>
          </w:p>
        </w:tc>
        <w:tc>
          <w:tcPr>
            <w:tcW w:w="1134" w:type="dxa"/>
          </w:tcPr>
          <w:p w14:paraId="0750B946" w14:textId="25D51282" w:rsidR="00803102" w:rsidRPr="00E93F38" w:rsidRDefault="00BF5AD3" w:rsidP="00C15CC1">
            <w:pPr>
              <w:jc w:val="right"/>
              <w:rPr>
                <w:rFonts w:ascii="Times New Roman" w:hAnsi="Times New Roman" w:cs="Times New Roman"/>
                <w:b/>
                <w:bCs/>
                <w:lang w:val="hr-HR"/>
              </w:rPr>
            </w:pPr>
            <w:r w:rsidRPr="00E93F38">
              <w:rPr>
                <w:rFonts w:ascii="Times New Roman" w:hAnsi="Times New Roman" w:cs="Times New Roman"/>
                <w:b/>
                <w:bCs/>
                <w:lang w:val="hr-HR"/>
              </w:rPr>
              <w:t>10</w:t>
            </w:r>
            <w:r w:rsidR="00E93F38" w:rsidRPr="00E93F38">
              <w:rPr>
                <w:rFonts w:ascii="Times New Roman" w:hAnsi="Times New Roman" w:cs="Times New Roman"/>
                <w:b/>
                <w:bCs/>
                <w:lang w:val="hr-HR"/>
              </w:rPr>
              <w:t>2</w:t>
            </w:r>
            <w:r w:rsidRPr="00E93F38">
              <w:rPr>
                <w:rFonts w:ascii="Times New Roman" w:hAnsi="Times New Roman" w:cs="Times New Roman"/>
                <w:b/>
                <w:bCs/>
                <w:lang w:val="hr-HR"/>
              </w:rPr>
              <w:t>,</w:t>
            </w:r>
            <w:r w:rsidR="00E93F38" w:rsidRPr="00E93F38">
              <w:rPr>
                <w:rFonts w:ascii="Times New Roman" w:hAnsi="Times New Roman" w:cs="Times New Roman"/>
                <w:b/>
                <w:bCs/>
                <w:lang w:val="hr-HR"/>
              </w:rPr>
              <w:t>40%</w:t>
            </w:r>
          </w:p>
        </w:tc>
        <w:tc>
          <w:tcPr>
            <w:tcW w:w="1134" w:type="dxa"/>
          </w:tcPr>
          <w:p w14:paraId="3EE0733E" w14:textId="640579C8"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89,44</w:t>
            </w:r>
            <w:r w:rsidR="00803102" w:rsidRPr="00E93F38">
              <w:rPr>
                <w:rFonts w:ascii="Times New Roman" w:hAnsi="Times New Roman" w:cs="Times New Roman"/>
                <w:b/>
                <w:bCs/>
                <w:lang w:val="hr-HR"/>
              </w:rPr>
              <w:t>%</w:t>
            </w:r>
          </w:p>
        </w:tc>
        <w:tc>
          <w:tcPr>
            <w:tcW w:w="1281" w:type="dxa"/>
          </w:tcPr>
          <w:p w14:paraId="43B1EFEF" w14:textId="77777777" w:rsidR="00803102" w:rsidRPr="000A5F6F" w:rsidRDefault="00803102" w:rsidP="00C15CC1">
            <w:pPr>
              <w:jc w:val="right"/>
              <w:rPr>
                <w:rFonts w:ascii="Times New Roman" w:hAnsi="Times New Roman" w:cs="Times New Roman"/>
                <w:b/>
                <w:bCs/>
                <w:lang w:val="hr-HR"/>
              </w:rPr>
            </w:pPr>
            <w:r w:rsidRPr="000A5F6F">
              <w:rPr>
                <w:rFonts w:ascii="Times New Roman" w:hAnsi="Times New Roman" w:cs="Times New Roman"/>
                <w:b/>
                <w:bCs/>
                <w:lang w:val="hr-HR"/>
              </w:rPr>
              <w:t>100,00%</w:t>
            </w:r>
          </w:p>
        </w:tc>
      </w:tr>
      <w:tr w:rsidR="00803102" w:rsidRPr="00E721E2" w14:paraId="42DC3216" w14:textId="77777777" w:rsidTr="00510BD8">
        <w:trPr>
          <w:jc w:val="center"/>
        </w:trPr>
        <w:tc>
          <w:tcPr>
            <w:tcW w:w="2263" w:type="dxa"/>
          </w:tcPr>
          <w:p w14:paraId="09743D3A" w14:textId="77777777" w:rsidR="00803102" w:rsidRPr="00E721E2" w:rsidRDefault="00803102" w:rsidP="00C15CC1">
            <w:pPr>
              <w:rPr>
                <w:rFonts w:ascii="Times New Roman" w:hAnsi="Times New Roman" w:cs="Times New Roman"/>
                <w:b/>
                <w:bCs/>
                <w:lang w:val="hr-HR"/>
              </w:rPr>
            </w:pPr>
            <w:r w:rsidRPr="00E721E2">
              <w:rPr>
                <w:rFonts w:ascii="Times New Roman" w:hAnsi="Times New Roman" w:cs="Times New Roman"/>
                <w:b/>
                <w:bCs/>
                <w:lang w:val="hr-HR"/>
              </w:rPr>
              <w:t>Rashodi poslovanja</w:t>
            </w:r>
          </w:p>
        </w:tc>
        <w:tc>
          <w:tcPr>
            <w:tcW w:w="1560" w:type="dxa"/>
          </w:tcPr>
          <w:p w14:paraId="4B5D98C9" w14:textId="7FE26757" w:rsidR="00803102" w:rsidRPr="00E93F38" w:rsidRDefault="00E93F38" w:rsidP="00C15CC1">
            <w:pPr>
              <w:jc w:val="right"/>
              <w:rPr>
                <w:rFonts w:ascii="Times New Roman" w:hAnsi="Times New Roman" w:cs="Times New Roman"/>
                <w:b/>
                <w:bCs/>
                <w:highlight w:val="yellow"/>
                <w:lang w:val="hr-HR"/>
              </w:rPr>
            </w:pPr>
            <w:r w:rsidRPr="00E93F38">
              <w:rPr>
                <w:rFonts w:ascii="Times New Roman" w:hAnsi="Times New Roman" w:cs="Times New Roman"/>
                <w:b/>
                <w:bCs/>
                <w:lang w:val="hr-HR"/>
              </w:rPr>
              <w:t>707.184,24</w:t>
            </w:r>
          </w:p>
        </w:tc>
        <w:tc>
          <w:tcPr>
            <w:tcW w:w="1559" w:type="dxa"/>
          </w:tcPr>
          <w:p w14:paraId="60BB3221" w14:textId="0EB23440" w:rsidR="00803102" w:rsidRPr="00E93F38" w:rsidRDefault="00BF5AD3" w:rsidP="00C15CC1">
            <w:pPr>
              <w:jc w:val="right"/>
              <w:rPr>
                <w:rFonts w:ascii="Times New Roman" w:hAnsi="Times New Roman" w:cs="Times New Roman"/>
                <w:b/>
                <w:bCs/>
                <w:lang w:val="hr-HR"/>
              </w:rPr>
            </w:pPr>
            <w:r w:rsidRPr="00E93F38">
              <w:rPr>
                <w:rFonts w:ascii="Times New Roman" w:hAnsi="Times New Roman" w:cs="Times New Roman"/>
                <w:b/>
                <w:bCs/>
                <w:lang w:val="hr-HR"/>
              </w:rPr>
              <w:t>822.060</w:t>
            </w:r>
            <w:r w:rsidR="00803102" w:rsidRPr="00E93F38">
              <w:rPr>
                <w:rFonts w:ascii="Times New Roman" w:hAnsi="Times New Roman" w:cs="Times New Roman"/>
                <w:b/>
                <w:bCs/>
                <w:lang w:val="hr-HR"/>
              </w:rPr>
              <w:t>,00</w:t>
            </w:r>
          </w:p>
        </w:tc>
        <w:tc>
          <w:tcPr>
            <w:tcW w:w="1559" w:type="dxa"/>
          </w:tcPr>
          <w:p w14:paraId="087F1766" w14:textId="69BC02D3"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737.459,67</w:t>
            </w:r>
          </w:p>
        </w:tc>
        <w:tc>
          <w:tcPr>
            <w:tcW w:w="1134" w:type="dxa"/>
          </w:tcPr>
          <w:p w14:paraId="0EB15DC1" w14:textId="6534FD85"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104,28</w:t>
            </w:r>
            <w:r w:rsidR="00BF5AD3" w:rsidRPr="00E93F38">
              <w:rPr>
                <w:rFonts w:ascii="Times New Roman" w:hAnsi="Times New Roman" w:cs="Times New Roman"/>
                <w:b/>
                <w:bCs/>
                <w:lang w:val="hr-HR"/>
              </w:rPr>
              <w:t>%</w:t>
            </w:r>
          </w:p>
        </w:tc>
        <w:tc>
          <w:tcPr>
            <w:tcW w:w="1134" w:type="dxa"/>
          </w:tcPr>
          <w:p w14:paraId="45666358" w14:textId="424AD1BE"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89,71</w:t>
            </w:r>
            <w:r w:rsidR="00BF5AD3" w:rsidRPr="00E93F38">
              <w:rPr>
                <w:rFonts w:ascii="Times New Roman" w:hAnsi="Times New Roman" w:cs="Times New Roman"/>
                <w:b/>
                <w:bCs/>
                <w:lang w:val="hr-HR"/>
              </w:rPr>
              <w:t>%</w:t>
            </w:r>
          </w:p>
        </w:tc>
        <w:tc>
          <w:tcPr>
            <w:tcW w:w="1281" w:type="dxa"/>
          </w:tcPr>
          <w:p w14:paraId="03FE0396" w14:textId="69B28C9B" w:rsidR="00803102" w:rsidRPr="000A5F6F" w:rsidRDefault="000A5F6F" w:rsidP="00C15CC1">
            <w:pPr>
              <w:jc w:val="right"/>
              <w:rPr>
                <w:rFonts w:ascii="Times New Roman" w:hAnsi="Times New Roman" w:cs="Times New Roman"/>
                <w:b/>
                <w:bCs/>
                <w:lang w:val="hr-HR"/>
              </w:rPr>
            </w:pPr>
            <w:r w:rsidRPr="000A5F6F">
              <w:rPr>
                <w:rFonts w:ascii="Times New Roman" w:hAnsi="Times New Roman" w:cs="Times New Roman"/>
                <w:b/>
                <w:bCs/>
                <w:lang w:val="hr-HR"/>
              </w:rPr>
              <w:t>99,93</w:t>
            </w:r>
            <w:r w:rsidR="00803102" w:rsidRPr="000A5F6F">
              <w:rPr>
                <w:rFonts w:ascii="Times New Roman" w:hAnsi="Times New Roman" w:cs="Times New Roman"/>
                <w:b/>
                <w:bCs/>
                <w:lang w:val="hr-HR"/>
              </w:rPr>
              <w:t>%</w:t>
            </w:r>
          </w:p>
        </w:tc>
      </w:tr>
      <w:tr w:rsidR="00803102" w:rsidRPr="00E721E2" w14:paraId="5ED57F9E" w14:textId="77777777" w:rsidTr="00510BD8">
        <w:trPr>
          <w:jc w:val="center"/>
        </w:trPr>
        <w:tc>
          <w:tcPr>
            <w:tcW w:w="2263" w:type="dxa"/>
          </w:tcPr>
          <w:p w14:paraId="147A505C" w14:textId="77777777" w:rsidR="00803102" w:rsidRPr="00E721E2" w:rsidRDefault="00803102" w:rsidP="00C15CC1">
            <w:pPr>
              <w:rPr>
                <w:rFonts w:ascii="Times New Roman" w:hAnsi="Times New Roman" w:cs="Times New Roman"/>
                <w:lang w:val="hr-HR"/>
              </w:rPr>
            </w:pPr>
            <w:r w:rsidRPr="00E721E2">
              <w:rPr>
                <w:rFonts w:ascii="Times New Roman" w:hAnsi="Times New Roman" w:cs="Times New Roman"/>
                <w:lang w:val="hr-HR"/>
              </w:rPr>
              <w:t>Rashodi za zaposlene</w:t>
            </w:r>
          </w:p>
        </w:tc>
        <w:tc>
          <w:tcPr>
            <w:tcW w:w="1560" w:type="dxa"/>
          </w:tcPr>
          <w:p w14:paraId="33698F26" w14:textId="2047F797" w:rsidR="00803102" w:rsidRPr="00E93F38" w:rsidRDefault="00E93F38" w:rsidP="00C15CC1">
            <w:pPr>
              <w:jc w:val="right"/>
              <w:rPr>
                <w:rFonts w:ascii="Times New Roman" w:hAnsi="Times New Roman" w:cs="Times New Roman"/>
                <w:highlight w:val="yellow"/>
                <w:lang w:val="hr-HR"/>
              </w:rPr>
            </w:pPr>
            <w:r w:rsidRPr="00E93F38">
              <w:rPr>
                <w:rFonts w:ascii="Times New Roman" w:hAnsi="Times New Roman" w:cs="Times New Roman"/>
                <w:lang w:val="hr-HR"/>
              </w:rPr>
              <w:t>475.361,77</w:t>
            </w:r>
          </w:p>
        </w:tc>
        <w:tc>
          <w:tcPr>
            <w:tcW w:w="1559" w:type="dxa"/>
          </w:tcPr>
          <w:p w14:paraId="73A56158" w14:textId="386C943A" w:rsidR="00803102" w:rsidRPr="00E93F38" w:rsidRDefault="00BF5AD3" w:rsidP="00C15CC1">
            <w:pPr>
              <w:jc w:val="right"/>
              <w:rPr>
                <w:rFonts w:ascii="Times New Roman" w:hAnsi="Times New Roman" w:cs="Times New Roman"/>
                <w:lang w:val="hr-HR"/>
              </w:rPr>
            </w:pPr>
            <w:r w:rsidRPr="00E93F38">
              <w:rPr>
                <w:rFonts w:ascii="Times New Roman" w:hAnsi="Times New Roman" w:cs="Times New Roman"/>
                <w:lang w:val="hr-HR"/>
              </w:rPr>
              <w:t>555.850</w:t>
            </w:r>
            <w:r w:rsidR="00803102" w:rsidRPr="00E93F38">
              <w:rPr>
                <w:rFonts w:ascii="Times New Roman" w:hAnsi="Times New Roman" w:cs="Times New Roman"/>
                <w:lang w:val="hr-HR"/>
              </w:rPr>
              <w:t>,00</w:t>
            </w:r>
          </w:p>
        </w:tc>
        <w:tc>
          <w:tcPr>
            <w:tcW w:w="1559" w:type="dxa"/>
          </w:tcPr>
          <w:p w14:paraId="2A94642E" w14:textId="53CA5DAB"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547.085,50</w:t>
            </w:r>
          </w:p>
        </w:tc>
        <w:tc>
          <w:tcPr>
            <w:tcW w:w="1134" w:type="dxa"/>
          </w:tcPr>
          <w:p w14:paraId="19D41241" w14:textId="56250BA5"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115,09</w:t>
            </w:r>
            <w:r w:rsidR="00803102" w:rsidRPr="00E93F38">
              <w:rPr>
                <w:rFonts w:ascii="Times New Roman" w:hAnsi="Times New Roman" w:cs="Times New Roman"/>
                <w:lang w:val="hr-HR"/>
              </w:rPr>
              <w:t>%</w:t>
            </w:r>
          </w:p>
        </w:tc>
        <w:tc>
          <w:tcPr>
            <w:tcW w:w="1134" w:type="dxa"/>
          </w:tcPr>
          <w:p w14:paraId="77CCFD69" w14:textId="4D4A230F"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98,42%</w:t>
            </w:r>
          </w:p>
        </w:tc>
        <w:tc>
          <w:tcPr>
            <w:tcW w:w="1281" w:type="dxa"/>
          </w:tcPr>
          <w:p w14:paraId="0E228F06" w14:textId="34B7283C" w:rsidR="00803102" w:rsidRPr="00E93F38" w:rsidRDefault="000A5F6F" w:rsidP="00C15CC1">
            <w:pPr>
              <w:jc w:val="right"/>
              <w:rPr>
                <w:rFonts w:ascii="Times New Roman" w:hAnsi="Times New Roman" w:cs="Times New Roman"/>
                <w:highlight w:val="yellow"/>
                <w:lang w:val="hr-HR"/>
              </w:rPr>
            </w:pPr>
            <w:r w:rsidRPr="000A5F6F">
              <w:rPr>
                <w:rFonts w:ascii="Times New Roman" w:hAnsi="Times New Roman" w:cs="Times New Roman"/>
                <w:lang w:val="hr-HR"/>
              </w:rPr>
              <w:t>74,1</w:t>
            </w:r>
            <w:r>
              <w:rPr>
                <w:rFonts w:ascii="Times New Roman" w:hAnsi="Times New Roman" w:cs="Times New Roman"/>
                <w:lang w:val="hr-HR"/>
              </w:rPr>
              <w:t>3</w:t>
            </w:r>
            <w:r w:rsidR="00803102" w:rsidRPr="000A5F6F">
              <w:rPr>
                <w:rFonts w:ascii="Times New Roman" w:hAnsi="Times New Roman" w:cs="Times New Roman"/>
                <w:lang w:val="hr-HR"/>
              </w:rPr>
              <w:t>%</w:t>
            </w:r>
          </w:p>
        </w:tc>
      </w:tr>
      <w:tr w:rsidR="00803102" w:rsidRPr="00E721E2" w14:paraId="7049C941" w14:textId="77777777" w:rsidTr="00510BD8">
        <w:trPr>
          <w:jc w:val="center"/>
        </w:trPr>
        <w:tc>
          <w:tcPr>
            <w:tcW w:w="2263" w:type="dxa"/>
          </w:tcPr>
          <w:p w14:paraId="3F8DB135" w14:textId="77777777" w:rsidR="00803102" w:rsidRPr="00E721E2" w:rsidRDefault="00803102" w:rsidP="00C15CC1">
            <w:pPr>
              <w:rPr>
                <w:rFonts w:ascii="Times New Roman" w:hAnsi="Times New Roman" w:cs="Times New Roman"/>
                <w:lang w:val="hr-HR"/>
              </w:rPr>
            </w:pPr>
            <w:r w:rsidRPr="00E721E2">
              <w:rPr>
                <w:rFonts w:ascii="Times New Roman" w:hAnsi="Times New Roman" w:cs="Times New Roman"/>
                <w:lang w:val="hr-HR"/>
              </w:rPr>
              <w:t>Materijalni rashodi</w:t>
            </w:r>
          </w:p>
        </w:tc>
        <w:tc>
          <w:tcPr>
            <w:tcW w:w="1560" w:type="dxa"/>
          </w:tcPr>
          <w:p w14:paraId="39D40BCE" w14:textId="1923F8F6" w:rsidR="00803102" w:rsidRPr="00E93F38" w:rsidRDefault="00E93F38" w:rsidP="00C15CC1">
            <w:pPr>
              <w:jc w:val="right"/>
              <w:rPr>
                <w:rFonts w:ascii="Times New Roman" w:hAnsi="Times New Roman" w:cs="Times New Roman"/>
                <w:highlight w:val="yellow"/>
                <w:lang w:val="hr-HR"/>
              </w:rPr>
            </w:pPr>
            <w:r w:rsidRPr="00E93F38">
              <w:rPr>
                <w:rFonts w:ascii="Times New Roman" w:hAnsi="Times New Roman" w:cs="Times New Roman"/>
                <w:lang w:val="hr-HR"/>
              </w:rPr>
              <w:t>231.822,47</w:t>
            </w:r>
          </w:p>
        </w:tc>
        <w:tc>
          <w:tcPr>
            <w:tcW w:w="1559" w:type="dxa"/>
          </w:tcPr>
          <w:p w14:paraId="16D5B79A" w14:textId="0E8A5AAA" w:rsidR="00803102" w:rsidRPr="00E93F38" w:rsidRDefault="00BF5AD3" w:rsidP="00C15CC1">
            <w:pPr>
              <w:jc w:val="right"/>
              <w:rPr>
                <w:rFonts w:ascii="Times New Roman" w:hAnsi="Times New Roman" w:cs="Times New Roman"/>
                <w:lang w:val="hr-HR"/>
              </w:rPr>
            </w:pPr>
            <w:r w:rsidRPr="00E93F38">
              <w:rPr>
                <w:rFonts w:ascii="Times New Roman" w:hAnsi="Times New Roman" w:cs="Times New Roman"/>
                <w:lang w:val="hr-HR"/>
              </w:rPr>
              <w:t>266.210</w:t>
            </w:r>
            <w:r w:rsidR="00803102" w:rsidRPr="00E93F38">
              <w:rPr>
                <w:rFonts w:ascii="Times New Roman" w:hAnsi="Times New Roman" w:cs="Times New Roman"/>
                <w:lang w:val="hr-HR"/>
              </w:rPr>
              <w:t>,00</w:t>
            </w:r>
          </w:p>
        </w:tc>
        <w:tc>
          <w:tcPr>
            <w:tcW w:w="1559" w:type="dxa"/>
          </w:tcPr>
          <w:p w14:paraId="1FF159A7" w14:textId="550140E6"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190.374,17</w:t>
            </w:r>
          </w:p>
        </w:tc>
        <w:tc>
          <w:tcPr>
            <w:tcW w:w="1134" w:type="dxa"/>
          </w:tcPr>
          <w:p w14:paraId="090912D2" w14:textId="5E4D835B"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82,12</w:t>
            </w:r>
            <w:r w:rsidR="00803102" w:rsidRPr="00E93F38">
              <w:rPr>
                <w:rFonts w:ascii="Times New Roman" w:hAnsi="Times New Roman" w:cs="Times New Roman"/>
                <w:lang w:val="hr-HR"/>
              </w:rPr>
              <w:t>%</w:t>
            </w:r>
          </w:p>
        </w:tc>
        <w:tc>
          <w:tcPr>
            <w:tcW w:w="1134" w:type="dxa"/>
          </w:tcPr>
          <w:p w14:paraId="3C23A9C7" w14:textId="17DDA009"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71,51</w:t>
            </w:r>
            <w:r w:rsidR="00BF5AD3" w:rsidRPr="00E93F38">
              <w:rPr>
                <w:rFonts w:ascii="Times New Roman" w:hAnsi="Times New Roman" w:cs="Times New Roman"/>
                <w:lang w:val="hr-HR"/>
              </w:rPr>
              <w:t>%</w:t>
            </w:r>
          </w:p>
        </w:tc>
        <w:tc>
          <w:tcPr>
            <w:tcW w:w="1281" w:type="dxa"/>
          </w:tcPr>
          <w:p w14:paraId="3F350691" w14:textId="5680F1DC" w:rsidR="00803102" w:rsidRPr="00E93F38" w:rsidRDefault="000A5F6F" w:rsidP="00C15CC1">
            <w:pPr>
              <w:jc w:val="right"/>
              <w:rPr>
                <w:rFonts w:ascii="Times New Roman" w:hAnsi="Times New Roman" w:cs="Times New Roman"/>
                <w:highlight w:val="yellow"/>
                <w:lang w:val="hr-HR"/>
              </w:rPr>
            </w:pPr>
            <w:r w:rsidRPr="000A5F6F">
              <w:rPr>
                <w:rFonts w:ascii="Times New Roman" w:hAnsi="Times New Roman" w:cs="Times New Roman"/>
                <w:lang w:val="hr-HR"/>
              </w:rPr>
              <w:t>25,80</w:t>
            </w:r>
            <w:r w:rsidR="00803102" w:rsidRPr="000A5F6F">
              <w:rPr>
                <w:rFonts w:ascii="Times New Roman" w:hAnsi="Times New Roman" w:cs="Times New Roman"/>
                <w:lang w:val="hr-HR"/>
              </w:rPr>
              <w:t>%</w:t>
            </w:r>
          </w:p>
        </w:tc>
      </w:tr>
      <w:tr w:rsidR="00803102" w:rsidRPr="00E721E2" w14:paraId="4B8C149F" w14:textId="77777777" w:rsidTr="00510BD8">
        <w:trPr>
          <w:jc w:val="center"/>
        </w:trPr>
        <w:tc>
          <w:tcPr>
            <w:tcW w:w="2263" w:type="dxa"/>
          </w:tcPr>
          <w:p w14:paraId="329CC051" w14:textId="77777777" w:rsidR="00803102" w:rsidRPr="00E721E2" w:rsidRDefault="00803102" w:rsidP="00C15CC1">
            <w:pPr>
              <w:rPr>
                <w:rFonts w:ascii="Times New Roman" w:hAnsi="Times New Roman" w:cs="Times New Roman"/>
                <w:b/>
                <w:bCs/>
                <w:lang w:val="hr-HR"/>
              </w:rPr>
            </w:pPr>
            <w:r w:rsidRPr="00E721E2">
              <w:rPr>
                <w:rFonts w:ascii="Times New Roman" w:hAnsi="Times New Roman" w:cs="Times New Roman"/>
                <w:b/>
                <w:bCs/>
                <w:lang w:val="hr-HR"/>
              </w:rPr>
              <w:t>Rashodi za nabavu nefinancijske imovine</w:t>
            </w:r>
          </w:p>
        </w:tc>
        <w:tc>
          <w:tcPr>
            <w:tcW w:w="1560" w:type="dxa"/>
            <w:vAlign w:val="center"/>
          </w:tcPr>
          <w:p w14:paraId="428AB5EC" w14:textId="6EB6C403" w:rsidR="00803102" w:rsidRPr="00E93F38" w:rsidRDefault="00E93F38" w:rsidP="00C15CC1">
            <w:pPr>
              <w:jc w:val="right"/>
              <w:rPr>
                <w:rFonts w:ascii="Times New Roman" w:hAnsi="Times New Roman" w:cs="Times New Roman"/>
                <w:b/>
                <w:bCs/>
                <w:highlight w:val="yellow"/>
                <w:lang w:val="hr-HR"/>
              </w:rPr>
            </w:pPr>
            <w:r w:rsidRPr="00E93F38">
              <w:rPr>
                <w:rFonts w:ascii="Times New Roman" w:hAnsi="Times New Roman" w:cs="Times New Roman"/>
                <w:b/>
                <w:bCs/>
                <w:lang w:val="hr-HR"/>
              </w:rPr>
              <w:t>13.482,70</w:t>
            </w:r>
          </w:p>
        </w:tc>
        <w:tc>
          <w:tcPr>
            <w:tcW w:w="1559" w:type="dxa"/>
            <w:vAlign w:val="center"/>
          </w:tcPr>
          <w:p w14:paraId="5E71F80C" w14:textId="6143E3E8" w:rsidR="00803102" w:rsidRPr="00E93F38" w:rsidRDefault="00BF5AD3" w:rsidP="00C15CC1">
            <w:pPr>
              <w:jc w:val="right"/>
              <w:rPr>
                <w:rFonts w:ascii="Times New Roman" w:hAnsi="Times New Roman" w:cs="Times New Roman"/>
                <w:b/>
                <w:bCs/>
                <w:lang w:val="hr-HR"/>
              </w:rPr>
            </w:pPr>
            <w:r w:rsidRPr="00E93F38">
              <w:rPr>
                <w:rFonts w:ascii="Times New Roman" w:hAnsi="Times New Roman" w:cs="Times New Roman"/>
                <w:b/>
                <w:bCs/>
                <w:lang w:val="hr-HR"/>
              </w:rPr>
              <w:t>3.</w:t>
            </w:r>
            <w:r w:rsidR="00DD63FE" w:rsidRPr="00E93F38">
              <w:rPr>
                <w:rFonts w:ascii="Times New Roman" w:hAnsi="Times New Roman" w:cs="Times New Roman"/>
                <w:b/>
                <w:bCs/>
                <w:lang w:val="hr-HR"/>
              </w:rPr>
              <w:t>0</w:t>
            </w:r>
            <w:r w:rsidRPr="00E93F38">
              <w:rPr>
                <w:rFonts w:ascii="Times New Roman" w:hAnsi="Times New Roman" w:cs="Times New Roman"/>
                <w:b/>
                <w:bCs/>
                <w:lang w:val="hr-HR"/>
              </w:rPr>
              <w:t>0</w:t>
            </w:r>
            <w:r w:rsidR="00AD118F" w:rsidRPr="00E93F38">
              <w:rPr>
                <w:rFonts w:ascii="Times New Roman" w:hAnsi="Times New Roman" w:cs="Times New Roman"/>
                <w:b/>
                <w:bCs/>
                <w:lang w:val="hr-HR"/>
              </w:rPr>
              <w:t>0</w:t>
            </w:r>
            <w:r w:rsidR="00803102" w:rsidRPr="00E93F38">
              <w:rPr>
                <w:rFonts w:ascii="Times New Roman" w:hAnsi="Times New Roman" w:cs="Times New Roman"/>
                <w:b/>
                <w:bCs/>
                <w:lang w:val="hr-HR"/>
              </w:rPr>
              <w:t>,00</w:t>
            </w:r>
          </w:p>
        </w:tc>
        <w:tc>
          <w:tcPr>
            <w:tcW w:w="1559" w:type="dxa"/>
            <w:vAlign w:val="center"/>
          </w:tcPr>
          <w:p w14:paraId="5545D1FA" w14:textId="7F18AC59"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497,50</w:t>
            </w:r>
          </w:p>
        </w:tc>
        <w:tc>
          <w:tcPr>
            <w:tcW w:w="1134" w:type="dxa"/>
            <w:vAlign w:val="center"/>
          </w:tcPr>
          <w:p w14:paraId="72955A0E" w14:textId="6C07A214"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3,69</w:t>
            </w:r>
            <w:r w:rsidR="00803102" w:rsidRPr="00E93F38">
              <w:rPr>
                <w:rFonts w:ascii="Times New Roman" w:hAnsi="Times New Roman" w:cs="Times New Roman"/>
                <w:b/>
                <w:bCs/>
                <w:lang w:val="hr-HR"/>
              </w:rPr>
              <w:t>%</w:t>
            </w:r>
          </w:p>
        </w:tc>
        <w:tc>
          <w:tcPr>
            <w:tcW w:w="1134" w:type="dxa"/>
            <w:vAlign w:val="center"/>
          </w:tcPr>
          <w:p w14:paraId="66ACBD0D" w14:textId="30D7EA62" w:rsidR="00803102" w:rsidRPr="00E93F38" w:rsidRDefault="00E93F38" w:rsidP="00C15CC1">
            <w:pPr>
              <w:jc w:val="right"/>
              <w:rPr>
                <w:rFonts w:ascii="Times New Roman" w:hAnsi="Times New Roman" w:cs="Times New Roman"/>
                <w:b/>
                <w:bCs/>
                <w:lang w:val="hr-HR"/>
              </w:rPr>
            </w:pPr>
            <w:r w:rsidRPr="00E93F38">
              <w:rPr>
                <w:rFonts w:ascii="Times New Roman" w:hAnsi="Times New Roman" w:cs="Times New Roman"/>
                <w:b/>
                <w:bCs/>
                <w:lang w:val="hr-HR"/>
              </w:rPr>
              <w:t>16,58</w:t>
            </w:r>
            <w:r w:rsidR="00803102" w:rsidRPr="00E93F38">
              <w:rPr>
                <w:rFonts w:ascii="Times New Roman" w:hAnsi="Times New Roman" w:cs="Times New Roman"/>
                <w:b/>
                <w:bCs/>
                <w:lang w:val="hr-HR"/>
              </w:rPr>
              <w:t>%</w:t>
            </w:r>
          </w:p>
        </w:tc>
        <w:tc>
          <w:tcPr>
            <w:tcW w:w="1281" w:type="dxa"/>
            <w:vAlign w:val="center"/>
          </w:tcPr>
          <w:p w14:paraId="0BDD8034" w14:textId="57438051" w:rsidR="00803102" w:rsidRPr="000A5F6F" w:rsidRDefault="000A5F6F" w:rsidP="00C15CC1">
            <w:pPr>
              <w:jc w:val="right"/>
              <w:rPr>
                <w:rFonts w:ascii="Times New Roman" w:hAnsi="Times New Roman" w:cs="Times New Roman"/>
                <w:b/>
                <w:bCs/>
                <w:lang w:val="hr-HR"/>
              </w:rPr>
            </w:pPr>
            <w:r w:rsidRPr="000A5F6F">
              <w:rPr>
                <w:rFonts w:ascii="Times New Roman" w:hAnsi="Times New Roman" w:cs="Times New Roman"/>
                <w:b/>
                <w:bCs/>
                <w:lang w:val="hr-HR"/>
              </w:rPr>
              <w:t>0,07</w:t>
            </w:r>
            <w:r w:rsidR="00803102" w:rsidRPr="000A5F6F">
              <w:rPr>
                <w:rFonts w:ascii="Times New Roman" w:hAnsi="Times New Roman" w:cs="Times New Roman"/>
                <w:b/>
                <w:bCs/>
                <w:lang w:val="hr-HR"/>
              </w:rPr>
              <w:t>%</w:t>
            </w:r>
          </w:p>
        </w:tc>
      </w:tr>
      <w:tr w:rsidR="00803102" w:rsidRPr="00E721E2" w14:paraId="2429A780" w14:textId="77777777" w:rsidTr="00510BD8">
        <w:trPr>
          <w:jc w:val="center"/>
        </w:trPr>
        <w:tc>
          <w:tcPr>
            <w:tcW w:w="2263" w:type="dxa"/>
          </w:tcPr>
          <w:p w14:paraId="57FFE769" w14:textId="77777777" w:rsidR="00803102" w:rsidRPr="00E721E2" w:rsidRDefault="00803102" w:rsidP="00C15CC1">
            <w:pPr>
              <w:rPr>
                <w:rFonts w:ascii="Times New Roman" w:hAnsi="Times New Roman" w:cs="Times New Roman"/>
                <w:lang w:val="hr-HR"/>
              </w:rPr>
            </w:pPr>
            <w:r w:rsidRPr="00E721E2">
              <w:rPr>
                <w:rFonts w:ascii="Times New Roman" w:hAnsi="Times New Roman" w:cs="Times New Roman"/>
                <w:lang w:val="hr-HR"/>
              </w:rPr>
              <w:t>Rashodi za nabavu neproizvedene dugotrajne imovine</w:t>
            </w:r>
          </w:p>
        </w:tc>
        <w:tc>
          <w:tcPr>
            <w:tcW w:w="1560" w:type="dxa"/>
            <w:vAlign w:val="center"/>
          </w:tcPr>
          <w:p w14:paraId="0F5D8435" w14:textId="66A2FFA0" w:rsidR="00803102" w:rsidRPr="00E93F38" w:rsidRDefault="00E93F38" w:rsidP="00C15CC1">
            <w:pPr>
              <w:jc w:val="right"/>
              <w:rPr>
                <w:rFonts w:ascii="Times New Roman" w:hAnsi="Times New Roman" w:cs="Times New Roman"/>
                <w:highlight w:val="yellow"/>
                <w:lang w:val="hr-HR"/>
              </w:rPr>
            </w:pPr>
            <w:r w:rsidRPr="00E93F38">
              <w:rPr>
                <w:rFonts w:ascii="Times New Roman" w:hAnsi="Times New Roman" w:cs="Times New Roman"/>
                <w:lang w:val="hr-HR"/>
              </w:rPr>
              <w:t>1.045,75</w:t>
            </w:r>
          </w:p>
        </w:tc>
        <w:tc>
          <w:tcPr>
            <w:tcW w:w="1559" w:type="dxa"/>
            <w:vAlign w:val="center"/>
          </w:tcPr>
          <w:p w14:paraId="11A5AFA9" w14:textId="0F1522BA" w:rsidR="00803102" w:rsidRPr="00E93F38" w:rsidRDefault="00AD118F" w:rsidP="00C15CC1">
            <w:pPr>
              <w:jc w:val="right"/>
              <w:rPr>
                <w:rFonts w:ascii="Times New Roman" w:hAnsi="Times New Roman" w:cs="Times New Roman"/>
                <w:lang w:val="hr-HR"/>
              </w:rPr>
            </w:pPr>
            <w:r w:rsidRPr="00E93F38">
              <w:rPr>
                <w:rFonts w:ascii="Times New Roman" w:hAnsi="Times New Roman" w:cs="Times New Roman"/>
                <w:lang w:val="hr-HR"/>
              </w:rPr>
              <w:t>1.</w:t>
            </w:r>
            <w:r w:rsidR="00BF5AD3" w:rsidRPr="00E93F38">
              <w:rPr>
                <w:rFonts w:ascii="Times New Roman" w:hAnsi="Times New Roman" w:cs="Times New Roman"/>
                <w:lang w:val="hr-HR"/>
              </w:rPr>
              <w:t>00</w:t>
            </w:r>
            <w:r w:rsidRPr="00E93F38">
              <w:rPr>
                <w:rFonts w:ascii="Times New Roman" w:hAnsi="Times New Roman" w:cs="Times New Roman"/>
                <w:lang w:val="hr-HR"/>
              </w:rPr>
              <w:t>0</w:t>
            </w:r>
            <w:r w:rsidR="00803102" w:rsidRPr="00E93F38">
              <w:rPr>
                <w:rFonts w:ascii="Times New Roman" w:hAnsi="Times New Roman" w:cs="Times New Roman"/>
                <w:lang w:val="hr-HR"/>
              </w:rPr>
              <w:t>,00</w:t>
            </w:r>
          </w:p>
        </w:tc>
        <w:tc>
          <w:tcPr>
            <w:tcW w:w="1559" w:type="dxa"/>
            <w:vAlign w:val="center"/>
          </w:tcPr>
          <w:p w14:paraId="1C50A809" w14:textId="78CE326B"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497,50</w:t>
            </w:r>
          </w:p>
        </w:tc>
        <w:tc>
          <w:tcPr>
            <w:tcW w:w="1134" w:type="dxa"/>
            <w:vAlign w:val="center"/>
          </w:tcPr>
          <w:p w14:paraId="5D4B193D" w14:textId="6CBE7BED"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47,57%</w:t>
            </w:r>
          </w:p>
        </w:tc>
        <w:tc>
          <w:tcPr>
            <w:tcW w:w="1134" w:type="dxa"/>
            <w:vAlign w:val="center"/>
          </w:tcPr>
          <w:p w14:paraId="25142D4D" w14:textId="52FCE73D"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49,75</w:t>
            </w:r>
            <w:r w:rsidR="00803102" w:rsidRPr="00E93F38">
              <w:rPr>
                <w:rFonts w:ascii="Times New Roman" w:hAnsi="Times New Roman" w:cs="Times New Roman"/>
                <w:lang w:val="hr-HR"/>
              </w:rPr>
              <w:t>%</w:t>
            </w:r>
          </w:p>
        </w:tc>
        <w:tc>
          <w:tcPr>
            <w:tcW w:w="1281" w:type="dxa"/>
            <w:vAlign w:val="center"/>
          </w:tcPr>
          <w:p w14:paraId="121AAB48" w14:textId="73273328" w:rsidR="00803102" w:rsidRPr="000A5F6F" w:rsidRDefault="000A5F6F" w:rsidP="00C15CC1">
            <w:pPr>
              <w:jc w:val="right"/>
              <w:rPr>
                <w:rFonts w:ascii="Times New Roman" w:hAnsi="Times New Roman" w:cs="Times New Roman"/>
                <w:lang w:val="hr-HR"/>
              </w:rPr>
            </w:pPr>
            <w:r w:rsidRPr="000A5F6F">
              <w:rPr>
                <w:rFonts w:ascii="Times New Roman" w:hAnsi="Times New Roman" w:cs="Times New Roman"/>
                <w:lang w:val="hr-HR"/>
              </w:rPr>
              <w:t>0,07</w:t>
            </w:r>
            <w:r w:rsidR="00803102" w:rsidRPr="000A5F6F">
              <w:rPr>
                <w:rFonts w:ascii="Times New Roman" w:hAnsi="Times New Roman" w:cs="Times New Roman"/>
                <w:lang w:val="hr-HR"/>
              </w:rPr>
              <w:t>%</w:t>
            </w:r>
          </w:p>
        </w:tc>
      </w:tr>
      <w:tr w:rsidR="00803102" w:rsidRPr="00E721E2" w14:paraId="3EBC7C2D" w14:textId="77777777" w:rsidTr="00510BD8">
        <w:trPr>
          <w:jc w:val="center"/>
        </w:trPr>
        <w:tc>
          <w:tcPr>
            <w:tcW w:w="2263" w:type="dxa"/>
          </w:tcPr>
          <w:p w14:paraId="6D0B91C5" w14:textId="77777777" w:rsidR="00803102" w:rsidRPr="00E721E2" w:rsidRDefault="00803102" w:rsidP="00C15CC1">
            <w:pPr>
              <w:rPr>
                <w:rFonts w:ascii="Times New Roman" w:hAnsi="Times New Roman" w:cs="Times New Roman"/>
                <w:lang w:val="hr-HR"/>
              </w:rPr>
            </w:pPr>
            <w:r w:rsidRPr="00E721E2">
              <w:rPr>
                <w:rFonts w:ascii="Times New Roman" w:hAnsi="Times New Roman" w:cs="Times New Roman"/>
                <w:lang w:val="hr-HR"/>
              </w:rPr>
              <w:t>Rashodi za nabavu proizvedene dugotrajne imovine</w:t>
            </w:r>
          </w:p>
        </w:tc>
        <w:tc>
          <w:tcPr>
            <w:tcW w:w="1560" w:type="dxa"/>
            <w:vAlign w:val="center"/>
          </w:tcPr>
          <w:p w14:paraId="6FE41C36" w14:textId="17FBE6A5" w:rsidR="00803102" w:rsidRPr="00E93F38" w:rsidRDefault="00E93F38" w:rsidP="00C15CC1">
            <w:pPr>
              <w:jc w:val="right"/>
              <w:rPr>
                <w:rFonts w:ascii="Times New Roman" w:hAnsi="Times New Roman" w:cs="Times New Roman"/>
                <w:lang w:val="hr-HR"/>
              </w:rPr>
            </w:pPr>
            <w:r w:rsidRPr="00E93F38">
              <w:rPr>
                <w:rFonts w:ascii="Times New Roman" w:hAnsi="Times New Roman" w:cs="Times New Roman"/>
                <w:lang w:val="hr-HR"/>
              </w:rPr>
              <w:t>12.436,95</w:t>
            </w:r>
          </w:p>
        </w:tc>
        <w:tc>
          <w:tcPr>
            <w:tcW w:w="1559" w:type="dxa"/>
            <w:vAlign w:val="center"/>
          </w:tcPr>
          <w:p w14:paraId="1D1B4851" w14:textId="666BB5DB" w:rsidR="00803102" w:rsidRPr="00E93F38" w:rsidRDefault="00BF5AD3" w:rsidP="00C15CC1">
            <w:pPr>
              <w:jc w:val="right"/>
              <w:rPr>
                <w:rFonts w:ascii="Times New Roman" w:hAnsi="Times New Roman" w:cs="Times New Roman"/>
                <w:lang w:val="hr-HR"/>
              </w:rPr>
            </w:pPr>
            <w:r w:rsidRPr="00E93F38">
              <w:rPr>
                <w:rFonts w:ascii="Times New Roman" w:hAnsi="Times New Roman" w:cs="Times New Roman"/>
                <w:lang w:val="hr-HR"/>
              </w:rPr>
              <w:t>2</w:t>
            </w:r>
            <w:r w:rsidR="00256358" w:rsidRPr="00E93F38">
              <w:rPr>
                <w:rFonts w:ascii="Times New Roman" w:hAnsi="Times New Roman" w:cs="Times New Roman"/>
                <w:lang w:val="hr-HR"/>
              </w:rPr>
              <w:t>.</w:t>
            </w:r>
            <w:r w:rsidRPr="00E93F38">
              <w:rPr>
                <w:rFonts w:ascii="Times New Roman" w:hAnsi="Times New Roman" w:cs="Times New Roman"/>
                <w:lang w:val="hr-HR"/>
              </w:rPr>
              <w:t>0</w:t>
            </w:r>
            <w:r w:rsidR="00256358" w:rsidRPr="00E93F38">
              <w:rPr>
                <w:rFonts w:ascii="Times New Roman" w:hAnsi="Times New Roman" w:cs="Times New Roman"/>
                <w:lang w:val="hr-HR"/>
              </w:rPr>
              <w:t>00</w:t>
            </w:r>
            <w:r w:rsidR="00803102" w:rsidRPr="00E93F38">
              <w:rPr>
                <w:rFonts w:ascii="Times New Roman" w:hAnsi="Times New Roman" w:cs="Times New Roman"/>
                <w:lang w:val="hr-HR"/>
              </w:rPr>
              <w:t>,00</w:t>
            </w:r>
          </w:p>
        </w:tc>
        <w:tc>
          <w:tcPr>
            <w:tcW w:w="1559" w:type="dxa"/>
            <w:vAlign w:val="center"/>
          </w:tcPr>
          <w:p w14:paraId="3AB21947" w14:textId="7CBCF1F3" w:rsidR="00803102" w:rsidRPr="00E93F38" w:rsidRDefault="00BF5AD3" w:rsidP="00C15CC1">
            <w:pPr>
              <w:jc w:val="right"/>
              <w:rPr>
                <w:rFonts w:ascii="Times New Roman" w:hAnsi="Times New Roman" w:cs="Times New Roman"/>
                <w:lang w:val="hr-HR"/>
              </w:rPr>
            </w:pPr>
            <w:r w:rsidRPr="00E93F38">
              <w:rPr>
                <w:rFonts w:ascii="Times New Roman" w:hAnsi="Times New Roman" w:cs="Times New Roman"/>
                <w:lang w:val="hr-HR"/>
              </w:rPr>
              <w:t>0,00</w:t>
            </w:r>
          </w:p>
        </w:tc>
        <w:tc>
          <w:tcPr>
            <w:tcW w:w="1134" w:type="dxa"/>
            <w:vAlign w:val="center"/>
          </w:tcPr>
          <w:p w14:paraId="5D808811" w14:textId="70724F32" w:rsidR="00803102" w:rsidRPr="00E93F38" w:rsidRDefault="00BF5AD3" w:rsidP="00C15CC1">
            <w:pPr>
              <w:jc w:val="right"/>
              <w:rPr>
                <w:rFonts w:ascii="Times New Roman" w:hAnsi="Times New Roman" w:cs="Times New Roman"/>
                <w:lang w:val="hr-HR"/>
              </w:rPr>
            </w:pPr>
            <w:r w:rsidRPr="00E93F38">
              <w:rPr>
                <w:rFonts w:ascii="Times New Roman" w:hAnsi="Times New Roman" w:cs="Times New Roman"/>
                <w:lang w:val="hr-HR"/>
              </w:rPr>
              <w:t>0,00</w:t>
            </w:r>
            <w:r w:rsidR="00803102" w:rsidRPr="00E93F38">
              <w:rPr>
                <w:rFonts w:ascii="Times New Roman" w:hAnsi="Times New Roman" w:cs="Times New Roman"/>
                <w:lang w:val="hr-HR"/>
              </w:rPr>
              <w:t>%</w:t>
            </w:r>
          </w:p>
        </w:tc>
        <w:tc>
          <w:tcPr>
            <w:tcW w:w="1134" w:type="dxa"/>
            <w:vAlign w:val="center"/>
          </w:tcPr>
          <w:p w14:paraId="26F0D4C3" w14:textId="017202F8" w:rsidR="00803102" w:rsidRPr="00E93F38" w:rsidRDefault="00BF5AD3" w:rsidP="00C15CC1">
            <w:pPr>
              <w:jc w:val="right"/>
              <w:rPr>
                <w:rFonts w:ascii="Times New Roman" w:hAnsi="Times New Roman" w:cs="Times New Roman"/>
                <w:lang w:val="hr-HR"/>
              </w:rPr>
            </w:pPr>
            <w:r w:rsidRPr="00E93F38">
              <w:rPr>
                <w:rFonts w:ascii="Times New Roman" w:hAnsi="Times New Roman" w:cs="Times New Roman"/>
                <w:lang w:val="hr-HR"/>
              </w:rPr>
              <w:t>0,00</w:t>
            </w:r>
            <w:r w:rsidR="00803102" w:rsidRPr="00E93F38">
              <w:rPr>
                <w:rFonts w:ascii="Times New Roman" w:hAnsi="Times New Roman" w:cs="Times New Roman"/>
                <w:lang w:val="hr-HR"/>
              </w:rPr>
              <w:t>%</w:t>
            </w:r>
          </w:p>
        </w:tc>
        <w:tc>
          <w:tcPr>
            <w:tcW w:w="1281" w:type="dxa"/>
            <w:vAlign w:val="center"/>
          </w:tcPr>
          <w:p w14:paraId="001EF57D" w14:textId="26E607F5" w:rsidR="00803102" w:rsidRPr="000A5F6F" w:rsidRDefault="00BF5AD3" w:rsidP="00C15CC1">
            <w:pPr>
              <w:jc w:val="right"/>
              <w:rPr>
                <w:rFonts w:ascii="Times New Roman" w:hAnsi="Times New Roman" w:cs="Times New Roman"/>
                <w:lang w:val="hr-HR"/>
              </w:rPr>
            </w:pPr>
            <w:r w:rsidRPr="000A5F6F">
              <w:rPr>
                <w:rFonts w:ascii="Times New Roman" w:hAnsi="Times New Roman" w:cs="Times New Roman"/>
                <w:lang w:val="hr-HR"/>
              </w:rPr>
              <w:t>0,00</w:t>
            </w:r>
            <w:r w:rsidR="00803102" w:rsidRPr="000A5F6F">
              <w:rPr>
                <w:rFonts w:ascii="Times New Roman" w:hAnsi="Times New Roman" w:cs="Times New Roman"/>
                <w:lang w:val="hr-HR"/>
              </w:rPr>
              <w:t>%</w:t>
            </w:r>
          </w:p>
        </w:tc>
      </w:tr>
    </w:tbl>
    <w:p w14:paraId="5FF493ED" w14:textId="77777777" w:rsidR="00803102" w:rsidRDefault="00803102" w:rsidP="00803102">
      <w:pPr>
        <w:spacing w:after="0" w:line="240" w:lineRule="auto"/>
        <w:jc w:val="center"/>
        <w:rPr>
          <w:rFonts w:ascii="Times New Roman" w:hAnsi="Times New Roman"/>
          <w:sz w:val="24"/>
          <w:szCs w:val="24"/>
        </w:rPr>
      </w:pPr>
    </w:p>
    <w:p w14:paraId="019524E5" w14:textId="77777777" w:rsidR="00C665F8" w:rsidRDefault="00C665F8" w:rsidP="00803102">
      <w:pPr>
        <w:spacing w:after="0" w:line="240" w:lineRule="auto"/>
        <w:jc w:val="center"/>
        <w:rPr>
          <w:rFonts w:ascii="Times New Roman" w:hAnsi="Times New Roman"/>
          <w:sz w:val="24"/>
          <w:szCs w:val="24"/>
        </w:rPr>
      </w:pPr>
    </w:p>
    <w:p w14:paraId="2AE210E9" w14:textId="77777777" w:rsidR="00C665F8" w:rsidRDefault="00C665F8" w:rsidP="00803102">
      <w:pPr>
        <w:spacing w:after="0" w:line="240" w:lineRule="auto"/>
        <w:jc w:val="center"/>
        <w:rPr>
          <w:rFonts w:ascii="Times New Roman" w:hAnsi="Times New Roman"/>
          <w:sz w:val="24"/>
          <w:szCs w:val="24"/>
        </w:rPr>
      </w:pPr>
    </w:p>
    <w:p w14:paraId="0F3FE001" w14:textId="77777777" w:rsidR="00C665F8" w:rsidRDefault="00C665F8" w:rsidP="00803102">
      <w:pPr>
        <w:spacing w:after="0" w:line="240" w:lineRule="auto"/>
        <w:jc w:val="center"/>
        <w:rPr>
          <w:rFonts w:ascii="Times New Roman" w:hAnsi="Times New Roman"/>
          <w:sz w:val="24"/>
          <w:szCs w:val="24"/>
        </w:rPr>
      </w:pPr>
    </w:p>
    <w:p w14:paraId="19FEEE7C" w14:textId="77777777" w:rsidR="00C665F8" w:rsidRDefault="00C665F8" w:rsidP="00803102">
      <w:pPr>
        <w:spacing w:after="0" w:line="240" w:lineRule="auto"/>
        <w:jc w:val="center"/>
        <w:rPr>
          <w:rFonts w:ascii="Times New Roman" w:hAnsi="Times New Roman"/>
          <w:sz w:val="24"/>
          <w:szCs w:val="24"/>
        </w:rPr>
      </w:pPr>
    </w:p>
    <w:p w14:paraId="4DA7CE59" w14:textId="77777777" w:rsidR="00C665F8" w:rsidRDefault="00C665F8" w:rsidP="00803102">
      <w:pPr>
        <w:spacing w:after="0" w:line="240" w:lineRule="auto"/>
        <w:jc w:val="center"/>
        <w:rPr>
          <w:rFonts w:ascii="Times New Roman" w:hAnsi="Times New Roman"/>
          <w:sz w:val="24"/>
          <w:szCs w:val="24"/>
        </w:rPr>
      </w:pPr>
    </w:p>
    <w:p w14:paraId="64EF5342" w14:textId="77777777" w:rsidR="00C665F8" w:rsidRDefault="00C665F8" w:rsidP="00803102">
      <w:pPr>
        <w:spacing w:after="0" w:line="240" w:lineRule="auto"/>
        <w:jc w:val="center"/>
        <w:rPr>
          <w:rFonts w:ascii="Times New Roman" w:hAnsi="Times New Roman"/>
          <w:sz w:val="24"/>
          <w:szCs w:val="24"/>
        </w:rPr>
      </w:pPr>
    </w:p>
    <w:p w14:paraId="319A615B" w14:textId="77777777" w:rsidR="00C665F8" w:rsidRDefault="00C665F8" w:rsidP="00803102">
      <w:pPr>
        <w:spacing w:after="0" w:line="240" w:lineRule="auto"/>
        <w:jc w:val="center"/>
        <w:rPr>
          <w:rFonts w:ascii="Times New Roman" w:hAnsi="Times New Roman"/>
          <w:sz w:val="24"/>
          <w:szCs w:val="24"/>
        </w:rPr>
      </w:pPr>
    </w:p>
    <w:p w14:paraId="2A3ADE8F" w14:textId="77777777" w:rsidR="00C665F8" w:rsidRDefault="00C665F8" w:rsidP="00803102">
      <w:pPr>
        <w:spacing w:after="0" w:line="240" w:lineRule="auto"/>
        <w:jc w:val="center"/>
        <w:rPr>
          <w:rFonts w:ascii="Times New Roman" w:hAnsi="Times New Roman"/>
          <w:sz w:val="24"/>
          <w:szCs w:val="24"/>
        </w:rPr>
      </w:pPr>
    </w:p>
    <w:p w14:paraId="4C613A66" w14:textId="77777777" w:rsidR="00C665F8" w:rsidRDefault="00C665F8" w:rsidP="00803102">
      <w:pPr>
        <w:spacing w:after="0" w:line="240" w:lineRule="auto"/>
        <w:jc w:val="center"/>
        <w:rPr>
          <w:rFonts w:ascii="Times New Roman" w:hAnsi="Times New Roman"/>
          <w:sz w:val="24"/>
          <w:szCs w:val="24"/>
        </w:rPr>
      </w:pPr>
    </w:p>
    <w:p w14:paraId="2AF4A053" w14:textId="77777777" w:rsidR="00C665F8" w:rsidRDefault="00C665F8" w:rsidP="00803102">
      <w:pPr>
        <w:spacing w:after="0" w:line="240" w:lineRule="auto"/>
        <w:jc w:val="center"/>
        <w:rPr>
          <w:rFonts w:ascii="Times New Roman" w:hAnsi="Times New Roman"/>
          <w:sz w:val="24"/>
          <w:szCs w:val="24"/>
        </w:rPr>
      </w:pPr>
    </w:p>
    <w:p w14:paraId="6847887F" w14:textId="77777777" w:rsidR="00C665F8" w:rsidRDefault="00C665F8" w:rsidP="00803102">
      <w:pPr>
        <w:spacing w:after="0" w:line="240" w:lineRule="auto"/>
        <w:jc w:val="center"/>
        <w:rPr>
          <w:rFonts w:ascii="Times New Roman" w:hAnsi="Times New Roman"/>
          <w:sz w:val="24"/>
          <w:szCs w:val="24"/>
        </w:rPr>
      </w:pPr>
    </w:p>
    <w:p w14:paraId="2F1365AE" w14:textId="306F7F70" w:rsidR="000A5F6F" w:rsidRDefault="00803102" w:rsidP="00803102">
      <w:pPr>
        <w:spacing w:after="0" w:line="240" w:lineRule="auto"/>
        <w:jc w:val="center"/>
        <w:rPr>
          <w:rFonts w:ascii="Times New Roman" w:hAnsi="Times New Roman"/>
          <w:sz w:val="24"/>
          <w:szCs w:val="24"/>
        </w:rPr>
      </w:pPr>
      <w:r w:rsidRPr="00E721E2">
        <w:rPr>
          <w:rFonts w:ascii="Times New Roman" w:hAnsi="Times New Roman"/>
          <w:sz w:val="24"/>
          <w:szCs w:val="24"/>
        </w:rPr>
        <w:lastRenderedPageBreak/>
        <w:t xml:space="preserve">Grafikon </w:t>
      </w:r>
      <w:r w:rsidR="00EF280A" w:rsidRPr="00E721E2">
        <w:rPr>
          <w:rFonts w:ascii="Times New Roman" w:hAnsi="Times New Roman"/>
          <w:sz w:val="24"/>
          <w:szCs w:val="24"/>
        </w:rPr>
        <w:t>3</w:t>
      </w:r>
      <w:r w:rsidRPr="00E721E2">
        <w:rPr>
          <w:rFonts w:ascii="Times New Roman" w:hAnsi="Times New Roman"/>
          <w:sz w:val="24"/>
          <w:szCs w:val="24"/>
        </w:rPr>
        <w:t>. Struktura izvršenih rashoda za 202</w:t>
      </w:r>
      <w:r w:rsidR="00510BD8" w:rsidRPr="00E721E2">
        <w:rPr>
          <w:rFonts w:ascii="Times New Roman" w:hAnsi="Times New Roman"/>
          <w:sz w:val="24"/>
          <w:szCs w:val="24"/>
        </w:rPr>
        <w:t>4</w:t>
      </w:r>
      <w:r w:rsidRPr="00E721E2">
        <w:rPr>
          <w:rFonts w:ascii="Times New Roman" w:hAnsi="Times New Roman"/>
          <w:sz w:val="24"/>
          <w:szCs w:val="24"/>
        </w:rPr>
        <w:t>. godinu</w:t>
      </w:r>
    </w:p>
    <w:p w14:paraId="5FBA543C" w14:textId="77777777" w:rsidR="001A1606" w:rsidRPr="00E721E2" w:rsidRDefault="001A1606" w:rsidP="00803102">
      <w:pPr>
        <w:spacing w:after="0" w:line="240" w:lineRule="auto"/>
        <w:jc w:val="center"/>
        <w:rPr>
          <w:rFonts w:ascii="Times New Roman" w:hAnsi="Times New Roman"/>
          <w:sz w:val="24"/>
          <w:szCs w:val="24"/>
        </w:rPr>
      </w:pPr>
    </w:p>
    <w:p w14:paraId="45AD289A" w14:textId="77A6BE56" w:rsidR="005B66D2" w:rsidRDefault="000A5F6F" w:rsidP="00803102">
      <w:pPr>
        <w:spacing w:after="0" w:line="240" w:lineRule="auto"/>
        <w:jc w:val="center"/>
        <w:rPr>
          <w:rFonts w:ascii="Times New Roman" w:hAnsi="Times New Roman"/>
          <w:sz w:val="24"/>
          <w:szCs w:val="24"/>
        </w:rPr>
      </w:pPr>
      <w:r>
        <w:rPr>
          <w:noProof/>
        </w:rPr>
        <w:drawing>
          <wp:inline distT="0" distB="0" distL="0" distR="0" wp14:anchorId="52E0D19E" wp14:editId="6CA3F566">
            <wp:extent cx="5731510" cy="3052445"/>
            <wp:effectExtent l="0" t="0" r="2540" b="14605"/>
            <wp:docPr id="291638949" name="Grafikon 1">
              <a:extLst xmlns:a="http://schemas.openxmlformats.org/drawingml/2006/main">
                <a:ext uri="{FF2B5EF4-FFF2-40B4-BE49-F238E27FC236}">
                  <a16:creationId xmlns:a16="http://schemas.microsoft.com/office/drawing/2014/main" id="{A1B86B56-7A14-441F-B522-3686CAEE8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7859FA" w14:textId="77777777" w:rsidR="000A5F6F" w:rsidRDefault="000A5F6F" w:rsidP="00803102">
      <w:pPr>
        <w:spacing w:after="0" w:line="240" w:lineRule="auto"/>
        <w:jc w:val="center"/>
        <w:rPr>
          <w:rFonts w:ascii="Times New Roman" w:hAnsi="Times New Roman"/>
          <w:sz w:val="24"/>
          <w:szCs w:val="24"/>
        </w:rPr>
      </w:pPr>
    </w:p>
    <w:p w14:paraId="2EF2FEB0" w14:textId="0BAFF251" w:rsidR="00803102" w:rsidRPr="00E721E2" w:rsidRDefault="00803102" w:rsidP="00803102">
      <w:pPr>
        <w:spacing w:after="0" w:line="240" w:lineRule="auto"/>
        <w:jc w:val="both"/>
        <w:rPr>
          <w:rFonts w:ascii="Times New Roman" w:hAnsi="Times New Roman"/>
          <w:sz w:val="24"/>
          <w:szCs w:val="24"/>
        </w:rPr>
      </w:pPr>
      <w:r w:rsidRPr="00E721E2">
        <w:rPr>
          <w:rFonts w:ascii="Times New Roman" w:hAnsi="Times New Roman"/>
          <w:b/>
          <w:sz w:val="24"/>
          <w:szCs w:val="24"/>
        </w:rPr>
        <w:t xml:space="preserve">RASHODI ZA ZAPOSLENE </w:t>
      </w:r>
      <w:r w:rsidRPr="00E721E2">
        <w:rPr>
          <w:rFonts w:ascii="Times New Roman" w:hAnsi="Times New Roman"/>
          <w:sz w:val="24"/>
          <w:szCs w:val="24"/>
        </w:rPr>
        <w:t xml:space="preserve">za prosječno </w:t>
      </w:r>
      <w:r w:rsidR="005B66D2" w:rsidRPr="00E721E2">
        <w:rPr>
          <w:rFonts w:ascii="Times New Roman" w:hAnsi="Times New Roman"/>
          <w:sz w:val="24"/>
          <w:szCs w:val="24"/>
        </w:rPr>
        <w:t>1</w:t>
      </w:r>
      <w:r w:rsidR="000A5F6F">
        <w:rPr>
          <w:rFonts w:ascii="Times New Roman" w:hAnsi="Times New Roman"/>
          <w:sz w:val="24"/>
          <w:szCs w:val="24"/>
        </w:rPr>
        <w:t>9</w:t>
      </w:r>
      <w:r w:rsidRPr="00E721E2">
        <w:rPr>
          <w:rFonts w:ascii="Times New Roman" w:hAnsi="Times New Roman"/>
          <w:sz w:val="24"/>
          <w:szCs w:val="24"/>
        </w:rPr>
        <w:t xml:space="preserve"> zaposlenih djelatnika ostvareni su u iznosu od</w:t>
      </w:r>
      <w:r w:rsidR="00D940C8" w:rsidRPr="00E721E2">
        <w:rPr>
          <w:rFonts w:ascii="Times New Roman" w:hAnsi="Times New Roman"/>
          <w:sz w:val="24"/>
          <w:szCs w:val="24"/>
        </w:rPr>
        <w:t xml:space="preserve"> </w:t>
      </w:r>
      <w:r w:rsidR="000A5F6F">
        <w:rPr>
          <w:rFonts w:ascii="Times New Roman" w:hAnsi="Times New Roman"/>
          <w:sz w:val="24"/>
          <w:szCs w:val="24"/>
        </w:rPr>
        <w:t>547.085,50</w:t>
      </w:r>
      <w:r w:rsidRPr="00E721E2">
        <w:rPr>
          <w:rFonts w:ascii="Times New Roman" w:hAnsi="Times New Roman"/>
          <w:sz w:val="24"/>
          <w:szCs w:val="24"/>
        </w:rPr>
        <w:t xml:space="preserve"> </w:t>
      </w:r>
      <w:r w:rsidR="00B23113" w:rsidRPr="00E721E2">
        <w:rPr>
          <w:rFonts w:ascii="Times New Roman" w:hAnsi="Times New Roman"/>
          <w:sz w:val="24"/>
          <w:szCs w:val="24"/>
        </w:rPr>
        <w:t>eura</w:t>
      </w:r>
      <w:r w:rsidRPr="00E721E2">
        <w:rPr>
          <w:rFonts w:ascii="Times New Roman" w:hAnsi="Times New Roman"/>
          <w:sz w:val="24"/>
          <w:szCs w:val="24"/>
        </w:rPr>
        <w:t xml:space="preserve"> što iznosi </w:t>
      </w:r>
      <w:r w:rsidR="000A5F6F">
        <w:rPr>
          <w:rFonts w:ascii="Times New Roman" w:hAnsi="Times New Roman"/>
          <w:sz w:val="24"/>
          <w:szCs w:val="24"/>
        </w:rPr>
        <w:t>98,42</w:t>
      </w:r>
      <w:r w:rsidRPr="00E721E2">
        <w:rPr>
          <w:rFonts w:ascii="Times New Roman" w:hAnsi="Times New Roman"/>
          <w:sz w:val="24"/>
          <w:szCs w:val="24"/>
        </w:rPr>
        <w:t>% od planiranih rashoda za zaposlene u 202</w:t>
      </w:r>
      <w:r w:rsidR="005B66D2" w:rsidRPr="00E721E2">
        <w:rPr>
          <w:rFonts w:ascii="Times New Roman" w:hAnsi="Times New Roman"/>
          <w:sz w:val="24"/>
          <w:szCs w:val="24"/>
        </w:rPr>
        <w:t>4</w:t>
      </w:r>
      <w:r w:rsidRPr="00E721E2">
        <w:rPr>
          <w:rFonts w:ascii="Times New Roman" w:hAnsi="Times New Roman"/>
          <w:sz w:val="24"/>
          <w:szCs w:val="24"/>
        </w:rPr>
        <w:t xml:space="preserve">. godini, odnosno </w:t>
      </w:r>
      <w:r w:rsidR="000A5F6F">
        <w:rPr>
          <w:rFonts w:ascii="Times New Roman" w:hAnsi="Times New Roman"/>
          <w:sz w:val="24"/>
          <w:szCs w:val="24"/>
        </w:rPr>
        <w:t>74,13</w:t>
      </w:r>
      <w:r w:rsidRPr="00E721E2">
        <w:rPr>
          <w:rFonts w:ascii="Times New Roman" w:hAnsi="Times New Roman"/>
          <w:sz w:val="24"/>
          <w:szCs w:val="24"/>
        </w:rPr>
        <w:t>% ukupno ostvarenih troškova.</w:t>
      </w:r>
    </w:p>
    <w:p w14:paraId="3B216DB8" w14:textId="77777777" w:rsidR="00803102" w:rsidRPr="00E721E2" w:rsidRDefault="00803102" w:rsidP="00803102">
      <w:pPr>
        <w:spacing w:after="0" w:line="240" w:lineRule="auto"/>
        <w:jc w:val="both"/>
        <w:rPr>
          <w:rFonts w:ascii="Times New Roman" w:hAnsi="Times New Roman"/>
          <w:sz w:val="24"/>
          <w:szCs w:val="24"/>
        </w:rPr>
      </w:pPr>
    </w:p>
    <w:p w14:paraId="0C7B0623" w14:textId="778BB390" w:rsidR="00803102" w:rsidRPr="00E721E2" w:rsidRDefault="00803102" w:rsidP="00803102">
      <w:pPr>
        <w:spacing w:after="0" w:line="240" w:lineRule="auto"/>
        <w:jc w:val="both"/>
        <w:rPr>
          <w:rFonts w:ascii="Times New Roman" w:hAnsi="Times New Roman"/>
          <w:sz w:val="24"/>
          <w:szCs w:val="24"/>
        </w:rPr>
      </w:pPr>
      <w:r w:rsidRPr="00E721E2">
        <w:rPr>
          <w:rFonts w:ascii="Times New Roman" w:hAnsi="Times New Roman"/>
          <w:sz w:val="24"/>
          <w:szCs w:val="24"/>
        </w:rPr>
        <w:t xml:space="preserve">Tablica </w:t>
      </w:r>
      <w:r w:rsidR="00413EE5">
        <w:rPr>
          <w:rFonts w:ascii="Times New Roman" w:hAnsi="Times New Roman"/>
          <w:sz w:val="24"/>
          <w:szCs w:val="24"/>
        </w:rPr>
        <w:t>4</w:t>
      </w:r>
      <w:r w:rsidRPr="00E721E2">
        <w:rPr>
          <w:rFonts w:ascii="Times New Roman" w:hAnsi="Times New Roman"/>
          <w:sz w:val="24"/>
          <w:szCs w:val="24"/>
        </w:rPr>
        <w:t>. Rashodi za zaposlene po izvorima financiranja za 202</w:t>
      </w:r>
      <w:r w:rsidR="005B66D2" w:rsidRPr="00E721E2">
        <w:rPr>
          <w:rFonts w:ascii="Times New Roman" w:hAnsi="Times New Roman"/>
          <w:sz w:val="24"/>
          <w:szCs w:val="24"/>
        </w:rPr>
        <w:t>4</w:t>
      </w:r>
      <w:r w:rsidRPr="00E721E2">
        <w:rPr>
          <w:rFonts w:ascii="Times New Roman" w:hAnsi="Times New Roman"/>
          <w:sz w:val="24"/>
          <w:szCs w:val="24"/>
        </w:rPr>
        <w:t>. godinu</w:t>
      </w:r>
    </w:p>
    <w:tbl>
      <w:tblPr>
        <w:tblStyle w:val="TableGrid"/>
        <w:tblW w:w="0" w:type="auto"/>
        <w:tblLook w:val="04A0" w:firstRow="1" w:lastRow="0" w:firstColumn="1" w:lastColumn="0" w:noHBand="0" w:noVBand="1"/>
      </w:tblPr>
      <w:tblGrid>
        <w:gridCol w:w="6049"/>
        <w:gridCol w:w="1557"/>
        <w:gridCol w:w="1410"/>
      </w:tblGrid>
      <w:tr w:rsidR="006432D4" w:rsidRPr="00E721E2" w14:paraId="6D3267C8" w14:textId="77777777" w:rsidTr="0018785A">
        <w:tc>
          <w:tcPr>
            <w:tcW w:w="6089" w:type="dxa"/>
            <w:shd w:val="clear" w:color="auto" w:fill="E7E6E6" w:themeFill="background2"/>
            <w:vAlign w:val="center"/>
          </w:tcPr>
          <w:p w14:paraId="66A71B78" w14:textId="77777777" w:rsidR="00803102" w:rsidRPr="00E721E2" w:rsidRDefault="00803102" w:rsidP="00C15CC1">
            <w:pPr>
              <w:jc w:val="center"/>
              <w:rPr>
                <w:rFonts w:ascii="Times New Roman" w:hAnsi="Times New Roman"/>
                <w:b/>
                <w:sz w:val="24"/>
                <w:szCs w:val="24"/>
                <w:lang w:val="hr-HR"/>
              </w:rPr>
            </w:pPr>
            <w:r w:rsidRPr="00E721E2">
              <w:rPr>
                <w:rFonts w:ascii="Times New Roman" w:hAnsi="Times New Roman"/>
                <w:b/>
                <w:sz w:val="24"/>
                <w:szCs w:val="24"/>
                <w:lang w:val="hr-HR"/>
              </w:rPr>
              <w:t>Izvor financiranja</w:t>
            </w:r>
          </w:p>
        </w:tc>
        <w:tc>
          <w:tcPr>
            <w:tcW w:w="1559" w:type="dxa"/>
            <w:shd w:val="clear" w:color="auto" w:fill="E7E6E6" w:themeFill="background2"/>
            <w:vAlign w:val="center"/>
          </w:tcPr>
          <w:p w14:paraId="33D5B19F" w14:textId="24C6006E" w:rsidR="00803102" w:rsidRPr="00E721E2" w:rsidRDefault="00803102" w:rsidP="00C15CC1">
            <w:pPr>
              <w:jc w:val="center"/>
              <w:rPr>
                <w:rFonts w:ascii="Times New Roman" w:hAnsi="Times New Roman"/>
                <w:b/>
                <w:sz w:val="24"/>
                <w:szCs w:val="24"/>
                <w:lang w:val="hr-HR"/>
              </w:rPr>
            </w:pPr>
            <w:r w:rsidRPr="00E721E2">
              <w:rPr>
                <w:rFonts w:ascii="Times New Roman" w:hAnsi="Times New Roman"/>
                <w:b/>
                <w:sz w:val="24"/>
                <w:szCs w:val="24"/>
                <w:lang w:val="hr-HR"/>
              </w:rPr>
              <w:t>Izvršenje za 202</w:t>
            </w:r>
            <w:r w:rsidR="005B66D2" w:rsidRPr="00E721E2">
              <w:rPr>
                <w:rFonts w:ascii="Times New Roman" w:hAnsi="Times New Roman"/>
                <w:b/>
                <w:sz w:val="24"/>
                <w:szCs w:val="24"/>
                <w:lang w:val="hr-HR"/>
              </w:rPr>
              <w:t>4</w:t>
            </w:r>
            <w:r w:rsidRPr="00E721E2">
              <w:rPr>
                <w:rFonts w:ascii="Times New Roman" w:hAnsi="Times New Roman"/>
                <w:b/>
                <w:sz w:val="24"/>
                <w:szCs w:val="24"/>
                <w:lang w:val="hr-HR"/>
              </w:rPr>
              <w:t>.</w:t>
            </w:r>
          </w:p>
        </w:tc>
        <w:tc>
          <w:tcPr>
            <w:tcW w:w="1412" w:type="dxa"/>
            <w:shd w:val="clear" w:color="auto" w:fill="E7E6E6" w:themeFill="background2"/>
            <w:vAlign w:val="center"/>
          </w:tcPr>
          <w:p w14:paraId="280BF13D" w14:textId="77777777" w:rsidR="00803102" w:rsidRPr="00E721E2" w:rsidRDefault="00803102" w:rsidP="00C15CC1">
            <w:pPr>
              <w:jc w:val="center"/>
              <w:rPr>
                <w:rFonts w:ascii="Times New Roman" w:hAnsi="Times New Roman"/>
                <w:b/>
                <w:sz w:val="24"/>
                <w:szCs w:val="24"/>
                <w:lang w:val="hr-HR"/>
              </w:rPr>
            </w:pPr>
            <w:r w:rsidRPr="00E721E2">
              <w:rPr>
                <w:rFonts w:ascii="Times New Roman" w:hAnsi="Times New Roman"/>
                <w:b/>
                <w:sz w:val="24"/>
                <w:szCs w:val="24"/>
                <w:lang w:val="hr-HR"/>
              </w:rPr>
              <w:t>Struktura</w:t>
            </w:r>
          </w:p>
        </w:tc>
      </w:tr>
      <w:tr w:rsidR="006432D4" w:rsidRPr="00E721E2" w14:paraId="51396245" w14:textId="77777777" w:rsidTr="00C15CC1">
        <w:tc>
          <w:tcPr>
            <w:tcW w:w="6089" w:type="dxa"/>
          </w:tcPr>
          <w:p w14:paraId="41C44D75"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Proračun Koprivničko-križevačke županije - redovna djelatnost</w:t>
            </w:r>
          </w:p>
        </w:tc>
        <w:tc>
          <w:tcPr>
            <w:tcW w:w="1559" w:type="dxa"/>
            <w:vAlign w:val="center"/>
          </w:tcPr>
          <w:p w14:paraId="22DC4744" w14:textId="2274EC9B" w:rsidR="00803102" w:rsidRPr="00E721E2" w:rsidRDefault="006432D4" w:rsidP="00C15CC1">
            <w:pPr>
              <w:jc w:val="right"/>
              <w:rPr>
                <w:rFonts w:ascii="Times New Roman" w:hAnsi="Times New Roman"/>
                <w:bCs/>
                <w:sz w:val="24"/>
                <w:szCs w:val="24"/>
                <w:lang w:val="hr-HR"/>
              </w:rPr>
            </w:pPr>
            <w:r>
              <w:rPr>
                <w:rFonts w:ascii="Times New Roman" w:hAnsi="Times New Roman"/>
                <w:bCs/>
                <w:sz w:val="24"/>
                <w:szCs w:val="24"/>
                <w:lang w:val="hr-HR"/>
              </w:rPr>
              <w:t>119.248,51</w:t>
            </w:r>
          </w:p>
        </w:tc>
        <w:tc>
          <w:tcPr>
            <w:tcW w:w="1412" w:type="dxa"/>
            <w:vAlign w:val="center"/>
          </w:tcPr>
          <w:p w14:paraId="77A6B34C" w14:textId="435767CE" w:rsidR="00803102" w:rsidRPr="00E721E2" w:rsidRDefault="00BE464D" w:rsidP="00C15CC1">
            <w:pPr>
              <w:jc w:val="right"/>
              <w:rPr>
                <w:rFonts w:ascii="Times New Roman" w:hAnsi="Times New Roman"/>
                <w:bCs/>
                <w:sz w:val="24"/>
                <w:szCs w:val="24"/>
                <w:lang w:val="hr-HR"/>
              </w:rPr>
            </w:pPr>
            <w:r w:rsidRPr="00E721E2">
              <w:rPr>
                <w:rFonts w:ascii="Times New Roman" w:hAnsi="Times New Roman"/>
                <w:bCs/>
                <w:sz w:val="24"/>
                <w:szCs w:val="24"/>
                <w:lang w:val="hr-HR"/>
              </w:rPr>
              <w:t>2</w:t>
            </w:r>
            <w:r w:rsidR="006432D4">
              <w:rPr>
                <w:rFonts w:ascii="Times New Roman" w:hAnsi="Times New Roman"/>
                <w:bCs/>
                <w:sz w:val="24"/>
                <w:szCs w:val="24"/>
                <w:lang w:val="hr-HR"/>
              </w:rPr>
              <w:t>1,79</w:t>
            </w:r>
            <w:r w:rsidR="00803102" w:rsidRPr="00E721E2">
              <w:rPr>
                <w:rFonts w:ascii="Times New Roman" w:hAnsi="Times New Roman"/>
                <w:bCs/>
                <w:sz w:val="24"/>
                <w:szCs w:val="24"/>
                <w:lang w:val="hr-HR"/>
              </w:rPr>
              <w:t>%</w:t>
            </w:r>
          </w:p>
        </w:tc>
      </w:tr>
      <w:tr w:rsidR="006432D4" w:rsidRPr="00E721E2" w14:paraId="5BDA9AA5" w14:textId="77777777" w:rsidTr="00C15CC1">
        <w:tc>
          <w:tcPr>
            <w:tcW w:w="6089" w:type="dxa"/>
          </w:tcPr>
          <w:p w14:paraId="217BCE0E"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Proračun Koprivničko-križevačke županije - sufinanciranje EU projekata</w:t>
            </w:r>
          </w:p>
        </w:tc>
        <w:tc>
          <w:tcPr>
            <w:tcW w:w="1559" w:type="dxa"/>
            <w:vAlign w:val="center"/>
          </w:tcPr>
          <w:p w14:paraId="259CB286" w14:textId="23E4887A" w:rsidR="00803102" w:rsidRPr="00E721E2" w:rsidRDefault="006432D4" w:rsidP="00C15CC1">
            <w:pPr>
              <w:jc w:val="right"/>
              <w:rPr>
                <w:rFonts w:ascii="Times New Roman" w:hAnsi="Times New Roman"/>
                <w:bCs/>
                <w:sz w:val="24"/>
                <w:szCs w:val="24"/>
                <w:lang w:val="hr-HR"/>
              </w:rPr>
            </w:pPr>
            <w:r>
              <w:rPr>
                <w:rFonts w:ascii="Times New Roman" w:hAnsi="Times New Roman"/>
                <w:bCs/>
                <w:sz w:val="24"/>
                <w:szCs w:val="24"/>
                <w:lang w:val="hr-HR"/>
              </w:rPr>
              <w:t>56.426,46</w:t>
            </w:r>
          </w:p>
        </w:tc>
        <w:tc>
          <w:tcPr>
            <w:tcW w:w="1412" w:type="dxa"/>
            <w:vAlign w:val="center"/>
          </w:tcPr>
          <w:p w14:paraId="07798471" w14:textId="523B3A62" w:rsidR="00803102" w:rsidRPr="00E721E2" w:rsidRDefault="006432D4" w:rsidP="00C15CC1">
            <w:pPr>
              <w:jc w:val="right"/>
              <w:rPr>
                <w:rFonts w:ascii="Times New Roman" w:hAnsi="Times New Roman"/>
                <w:bCs/>
                <w:sz w:val="24"/>
                <w:szCs w:val="24"/>
                <w:lang w:val="hr-HR"/>
              </w:rPr>
            </w:pPr>
            <w:r>
              <w:rPr>
                <w:rFonts w:ascii="Times New Roman" w:hAnsi="Times New Roman"/>
                <w:bCs/>
                <w:sz w:val="24"/>
                <w:szCs w:val="24"/>
                <w:lang w:val="hr-HR"/>
              </w:rPr>
              <w:t>10,31</w:t>
            </w:r>
            <w:r w:rsidR="00803102" w:rsidRPr="00E721E2">
              <w:rPr>
                <w:rFonts w:ascii="Times New Roman" w:hAnsi="Times New Roman"/>
                <w:bCs/>
                <w:sz w:val="24"/>
                <w:szCs w:val="24"/>
                <w:lang w:val="hr-HR"/>
              </w:rPr>
              <w:t>%</w:t>
            </w:r>
          </w:p>
        </w:tc>
      </w:tr>
      <w:tr w:rsidR="006432D4" w:rsidRPr="00E721E2" w14:paraId="3947C948" w14:textId="77777777" w:rsidTr="00C15CC1">
        <w:tc>
          <w:tcPr>
            <w:tcW w:w="6089" w:type="dxa"/>
          </w:tcPr>
          <w:p w14:paraId="6C6BA399"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EU sredstva - EU projekti</w:t>
            </w:r>
          </w:p>
        </w:tc>
        <w:tc>
          <w:tcPr>
            <w:tcW w:w="1559" w:type="dxa"/>
            <w:vAlign w:val="center"/>
          </w:tcPr>
          <w:p w14:paraId="787027DA" w14:textId="05B808B9" w:rsidR="00803102" w:rsidRPr="00E721E2" w:rsidRDefault="006432D4" w:rsidP="00C15CC1">
            <w:pPr>
              <w:jc w:val="right"/>
              <w:rPr>
                <w:rFonts w:ascii="Times New Roman" w:hAnsi="Times New Roman"/>
                <w:bCs/>
                <w:sz w:val="24"/>
                <w:szCs w:val="24"/>
                <w:lang w:val="hr-HR"/>
              </w:rPr>
            </w:pPr>
            <w:r>
              <w:rPr>
                <w:rFonts w:ascii="Times New Roman" w:hAnsi="Times New Roman"/>
                <w:bCs/>
                <w:sz w:val="24"/>
                <w:szCs w:val="24"/>
                <w:lang w:val="hr-HR"/>
              </w:rPr>
              <w:t>371.410,53</w:t>
            </w:r>
          </w:p>
        </w:tc>
        <w:tc>
          <w:tcPr>
            <w:tcW w:w="1412" w:type="dxa"/>
            <w:vAlign w:val="center"/>
          </w:tcPr>
          <w:p w14:paraId="01B5DF65" w14:textId="03C8D361" w:rsidR="00803102" w:rsidRPr="00E721E2" w:rsidRDefault="006432D4" w:rsidP="00C15CC1">
            <w:pPr>
              <w:jc w:val="right"/>
              <w:rPr>
                <w:rFonts w:ascii="Times New Roman" w:hAnsi="Times New Roman"/>
                <w:bCs/>
                <w:sz w:val="24"/>
                <w:szCs w:val="24"/>
                <w:lang w:val="hr-HR"/>
              </w:rPr>
            </w:pPr>
            <w:r>
              <w:rPr>
                <w:rFonts w:ascii="Times New Roman" w:hAnsi="Times New Roman"/>
                <w:bCs/>
                <w:sz w:val="24"/>
                <w:szCs w:val="24"/>
                <w:lang w:val="hr-HR"/>
              </w:rPr>
              <w:t>67,90</w:t>
            </w:r>
            <w:r w:rsidR="00803102" w:rsidRPr="00E721E2">
              <w:rPr>
                <w:rFonts w:ascii="Times New Roman" w:hAnsi="Times New Roman"/>
                <w:bCs/>
                <w:sz w:val="24"/>
                <w:szCs w:val="24"/>
                <w:lang w:val="hr-HR"/>
              </w:rPr>
              <w:t>%</w:t>
            </w:r>
          </w:p>
        </w:tc>
      </w:tr>
      <w:tr w:rsidR="006432D4" w:rsidRPr="00E721E2" w14:paraId="507B8A02" w14:textId="77777777" w:rsidTr="00C15CC1">
        <w:tc>
          <w:tcPr>
            <w:tcW w:w="6089" w:type="dxa"/>
          </w:tcPr>
          <w:p w14:paraId="1201B3B7" w14:textId="77777777" w:rsidR="00803102" w:rsidRPr="00E721E2" w:rsidRDefault="00803102" w:rsidP="00C15CC1">
            <w:pPr>
              <w:rPr>
                <w:rFonts w:ascii="Times New Roman" w:hAnsi="Times New Roman"/>
                <w:b/>
                <w:sz w:val="24"/>
                <w:szCs w:val="24"/>
                <w:lang w:val="hr-HR"/>
              </w:rPr>
            </w:pPr>
            <w:r w:rsidRPr="00E721E2">
              <w:rPr>
                <w:rFonts w:ascii="Times New Roman" w:hAnsi="Times New Roman"/>
                <w:b/>
                <w:sz w:val="24"/>
                <w:szCs w:val="24"/>
                <w:lang w:val="hr-HR"/>
              </w:rPr>
              <w:t>UKUPNO:</w:t>
            </w:r>
          </w:p>
        </w:tc>
        <w:tc>
          <w:tcPr>
            <w:tcW w:w="1559" w:type="dxa"/>
            <w:vAlign w:val="center"/>
          </w:tcPr>
          <w:p w14:paraId="665834D1" w14:textId="098F2C89" w:rsidR="00803102" w:rsidRPr="00E721E2" w:rsidRDefault="000A5F6F" w:rsidP="00C15CC1">
            <w:pPr>
              <w:jc w:val="right"/>
              <w:rPr>
                <w:rFonts w:ascii="Times New Roman" w:hAnsi="Times New Roman"/>
                <w:b/>
                <w:sz w:val="24"/>
                <w:szCs w:val="24"/>
                <w:lang w:val="hr-HR"/>
              </w:rPr>
            </w:pPr>
            <w:r>
              <w:rPr>
                <w:rFonts w:ascii="Times New Roman" w:hAnsi="Times New Roman"/>
                <w:b/>
                <w:sz w:val="24"/>
                <w:szCs w:val="24"/>
                <w:lang w:val="hr-HR"/>
              </w:rPr>
              <w:t>547.085,50</w:t>
            </w:r>
          </w:p>
        </w:tc>
        <w:tc>
          <w:tcPr>
            <w:tcW w:w="1412" w:type="dxa"/>
            <w:vAlign w:val="center"/>
          </w:tcPr>
          <w:p w14:paraId="60EF1EC0" w14:textId="77777777" w:rsidR="00803102" w:rsidRPr="00E721E2" w:rsidRDefault="00803102" w:rsidP="00C15CC1">
            <w:pPr>
              <w:jc w:val="right"/>
              <w:rPr>
                <w:rFonts w:ascii="Times New Roman" w:hAnsi="Times New Roman"/>
                <w:b/>
                <w:sz w:val="24"/>
                <w:szCs w:val="24"/>
                <w:lang w:val="hr-HR"/>
              </w:rPr>
            </w:pPr>
            <w:r w:rsidRPr="00E721E2">
              <w:rPr>
                <w:rFonts w:ascii="Times New Roman" w:hAnsi="Times New Roman"/>
                <w:b/>
                <w:sz w:val="24"/>
                <w:szCs w:val="24"/>
                <w:lang w:val="hr-HR"/>
              </w:rPr>
              <w:t>100,00%</w:t>
            </w:r>
          </w:p>
        </w:tc>
      </w:tr>
    </w:tbl>
    <w:p w14:paraId="2977BDBA" w14:textId="71B646AF" w:rsidR="00957A67" w:rsidRPr="00E721E2" w:rsidRDefault="00957A67" w:rsidP="00803102">
      <w:pPr>
        <w:spacing w:after="0" w:line="240" w:lineRule="auto"/>
        <w:jc w:val="both"/>
        <w:rPr>
          <w:rFonts w:ascii="Times New Roman" w:hAnsi="Times New Roman"/>
          <w:sz w:val="24"/>
          <w:szCs w:val="24"/>
        </w:rPr>
      </w:pPr>
    </w:p>
    <w:p w14:paraId="048D1430" w14:textId="77777777" w:rsidR="001A1606" w:rsidRDefault="001A1606" w:rsidP="00803102">
      <w:pPr>
        <w:spacing w:after="0" w:line="240" w:lineRule="auto"/>
        <w:jc w:val="center"/>
        <w:rPr>
          <w:rFonts w:ascii="Times New Roman" w:hAnsi="Times New Roman"/>
          <w:sz w:val="24"/>
          <w:szCs w:val="24"/>
        </w:rPr>
      </w:pPr>
    </w:p>
    <w:p w14:paraId="0CD2DEC9" w14:textId="77777777" w:rsidR="001A1606" w:rsidRDefault="001A1606" w:rsidP="00803102">
      <w:pPr>
        <w:spacing w:after="0" w:line="240" w:lineRule="auto"/>
        <w:jc w:val="center"/>
        <w:rPr>
          <w:rFonts w:ascii="Times New Roman" w:hAnsi="Times New Roman"/>
          <w:sz w:val="24"/>
          <w:szCs w:val="24"/>
        </w:rPr>
      </w:pPr>
    </w:p>
    <w:p w14:paraId="36EBAAD3" w14:textId="77777777" w:rsidR="001A1606" w:rsidRDefault="001A1606" w:rsidP="00803102">
      <w:pPr>
        <w:spacing w:after="0" w:line="240" w:lineRule="auto"/>
        <w:jc w:val="center"/>
        <w:rPr>
          <w:rFonts w:ascii="Times New Roman" w:hAnsi="Times New Roman"/>
          <w:sz w:val="24"/>
          <w:szCs w:val="24"/>
        </w:rPr>
      </w:pPr>
    </w:p>
    <w:p w14:paraId="06B5B909" w14:textId="77777777" w:rsidR="001A1606" w:rsidRDefault="001A1606" w:rsidP="00803102">
      <w:pPr>
        <w:spacing w:after="0" w:line="240" w:lineRule="auto"/>
        <w:jc w:val="center"/>
        <w:rPr>
          <w:rFonts w:ascii="Times New Roman" w:hAnsi="Times New Roman"/>
          <w:sz w:val="24"/>
          <w:szCs w:val="24"/>
        </w:rPr>
      </w:pPr>
    </w:p>
    <w:p w14:paraId="7871E386" w14:textId="77777777" w:rsidR="001A1606" w:rsidRDefault="001A1606" w:rsidP="00803102">
      <w:pPr>
        <w:spacing w:after="0" w:line="240" w:lineRule="auto"/>
        <w:jc w:val="center"/>
        <w:rPr>
          <w:rFonts w:ascii="Times New Roman" w:hAnsi="Times New Roman"/>
          <w:sz w:val="24"/>
          <w:szCs w:val="24"/>
        </w:rPr>
      </w:pPr>
    </w:p>
    <w:p w14:paraId="6321321F" w14:textId="77777777" w:rsidR="001A1606" w:rsidRDefault="001A1606" w:rsidP="00803102">
      <w:pPr>
        <w:spacing w:after="0" w:line="240" w:lineRule="auto"/>
        <w:jc w:val="center"/>
        <w:rPr>
          <w:rFonts w:ascii="Times New Roman" w:hAnsi="Times New Roman"/>
          <w:sz w:val="24"/>
          <w:szCs w:val="24"/>
        </w:rPr>
      </w:pPr>
    </w:p>
    <w:p w14:paraId="2EE9B47D" w14:textId="77777777" w:rsidR="001A1606" w:rsidRDefault="001A1606" w:rsidP="00803102">
      <w:pPr>
        <w:spacing w:after="0" w:line="240" w:lineRule="auto"/>
        <w:jc w:val="center"/>
        <w:rPr>
          <w:rFonts w:ascii="Times New Roman" w:hAnsi="Times New Roman"/>
          <w:sz w:val="24"/>
          <w:szCs w:val="24"/>
        </w:rPr>
      </w:pPr>
    </w:p>
    <w:p w14:paraId="4F0D5512" w14:textId="77777777" w:rsidR="001A1606" w:rsidRDefault="001A1606" w:rsidP="00803102">
      <w:pPr>
        <w:spacing w:after="0" w:line="240" w:lineRule="auto"/>
        <w:jc w:val="center"/>
        <w:rPr>
          <w:rFonts w:ascii="Times New Roman" w:hAnsi="Times New Roman"/>
          <w:sz w:val="24"/>
          <w:szCs w:val="24"/>
        </w:rPr>
      </w:pPr>
    </w:p>
    <w:p w14:paraId="1401058F" w14:textId="77777777" w:rsidR="001A1606" w:rsidRDefault="001A1606" w:rsidP="00803102">
      <w:pPr>
        <w:spacing w:after="0" w:line="240" w:lineRule="auto"/>
        <w:jc w:val="center"/>
        <w:rPr>
          <w:rFonts w:ascii="Times New Roman" w:hAnsi="Times New Roman"/>
          <w:sz w:val="24"/>
          <w:szCs w:val="24"/>
        </w:rPr>
      </w:pPr>
    </w:p>
    <w:p w14:paraId="3845ED01" w14:textId="77777777" w:rsidR="001A1606" w:rsidRDefault="001A1606" w:rsidP="00803102">
      <w:pPr>
        <w:spacing w:after="0" w:line="240" w:lineRule="auto"/>
        <w:jc w:val="center"/>
        <w:rPr>
          <w:rFonts w:ascii="Times New Roman" w:hAnsi="Times New Roman"/>
          <w:sz w:val="24"/>
          <w:szCs w:val="24"/>
        </w:rPr>
      </w:pPr>
    </w:p>
    <w:p w14:paraId="7B7A766B" w14:textId="77777777" w:rsidR="001A1606" w:rsidRDefault="001A1606" w:rsidP="00803102">
      <w:pPr>
        <w:spacing w:after="0" w:line="240" w:lineRule="auto"/>
        <w:jc w:val="center"/>
        <w:rPr>
          <w:rFonts w:ascii="Times New Roman" w:hAnsi="Times New Roman"/>
          <w:sz w:val="24"/>
          <w:szCs w:val="24"/>
        </w:rPr>
      </w:pPr>
    </w:p>
    <w:p w14:paraId="27F1EFC6" w14:textId="77777777" w:rsidR="001A1606" w:rsidRDefault="001A1606" w:rsidP="00803102">
      <w:pPr>
        <w:spacing w:after="0" w:line="240" w:lineRule="auto"/>
        <w:jc w:val="center"/>
        <w:rPr>
          <w:rFonts w:ascii="Times New Roman" w:hAnsi="Times New Roman"/>
          <w:sz w:val="24"/>
          <w:szCs w:val="24"/>
        </w:rPr>
      </w:pPr>
    </w:p>
    <w:p w14:paraId="1401B7E8" w14:textId="77777777" w:rsidR="001A1606" w:rsidRDefault="001A1606" w:rsidP="00803102">
      <w:pPr>
        <w:spacing w:after="0" w:line="240" w:lineRule="auto"/>
        <w:jc w:val="center"/>
        <w:rPr>
          <w:rFonts w:ascii="Times New Roman" w:hAnsi="Times New Roman"/>
          <w:sz w:val="24"/>
          <w:szCs w:val="24"/>
        </w:rPr>
      </w:pPr>
    </w:p>
    <w:p w14:paraId="0A96E1DE" w14:textId="77777777" w:rsidR="001A1606" w:rsidRDefault="001A1606" w:rsidP="00803102">
      <w:pPr>
        <w:spacing w:after="0" w:line="240" w:lineRule="auto"/>
        <w:jc w:val="center"/>
        <w:rPr>
          <w:rFonts w:ascii="Times New Roman" w:hAnsi="Times New Roman"/>
          <w:sz w:val="24"/>
          <w:szCs w:val="24"/>
        </w:rPr>
      </w:pPr>
    </w:p>
    <w:p w14:paraId="6124BABF" w14:textId="77777777" w:rsidR="001A1606" w:rsidRDefault="001A1606" w:rsidP="00803102">
      <w:pPr>
        <w:spacing w:after="0" w:line="240" w:lineRule="auto"/>
        <w:jc w:val="center"/>
        <w:rPr>
          <w:rFonts w:ascii="Times New Roman" w:hAnsi="Times New Roman"/>
          <w:sz w:val="24"/>
          <w:szCs w:val="24"/>
        </w:rPr>
      </w:pPr>
    </w:p>
    <w:p w14:paraId="695AAAFC" w14:textId="2122DF8B" w:rsidR="00A203E5" w:rsidRDefault="00803102" w:rsidP="00803102">
      <w:pPr>
        <w:spacing w:after="0" w:line="240" w:lineRule="auto"/>
        <w:jc w:val="center"/>
        <w:rPr>
          <w:noProof/>
        </w:rPr>
      </w:pPr>
      <w:r w:rsidRPr="00E721E2">
        <w:rPr>
          <w:rFonts w:ascii="Times New Roman" w:hAnsi="Times New Roman"/>
          <w:sz w:val="24"/>
          <w:szCs w:val="24"/>
        </w:rPr>
        <w:lastRenderedPageBreak/>
        <w:t xml:space="preserve">Grafikon </w:t>
      </w:r>
      <w:r w:rsidR="00413EE5">
        <w:rPr>
          <w:rFonts w:ascii="Times New Roman" w:hAnsi="Times New Roman"/>
          <w:sz w:val="24"/>
          <w:szCs w:val="24"/>
        </w:rPr>
        <w:t>4</w:t>
      </w:r>
      <w:r w:rsidRPr="00E721E2">
        <w:rPr>
          <w:rFonts w:ascii="Times New Roman" w:hAnsi="Times New Roman"/>
          <w:sz w:val="24"/>
          <w:szCs w:val="24"/>
        </w:rPr>
        <w:t>. Rashodi za zaposlene po izvorima financiranja za 202</w:t>
      </w:r>
      <w:r w:rsidR="00D27BE5" w:rsidRPr="00E721E2">
        <w:rPr>
          <w:rFonts w:ascii="Times New Roman" w:hAnsi="Times New Roman"/>
          <w:sz w:val="24"/>
          <w:szCs w:val="24"/>
        </w:rPr>
        <w:t>4</w:t>
      </w:r>
      <w:r w:rsidRPr="00E721E2">
        <w:rPr>
          <w:rFonts w:ascii="Times New Roman" w:hAnsi="Times New Roman"/>
          <w:sz w:val="24"/>
          <w:szCs w:val="24"/>
        </w:rPr>
        <w:t>. godinu</w:t>
      </w:r>
    </w:p>
    <w:p w14:paraId="17423375" w14:textId="77777777" w:rsidR="001A1606" w:rsidRDefault="001A1606" w:rsidP="00803102">
      <w:pPr>
        <w:spacing w:after="0" w:line="240" w:lineRule="auto"/>
        <w:jc w:val="center"/>
        <w:rPr>
          <w:noProof/>
        </w:rPr>
      </w:pPr>
    </w:p>
    <w:p w14:paraId="69041697" w14:textId="506F3DF1" w:rsidR="001A1606" w:rsidRDefault="001A1606" w:rsidP="00803102">
      <w:pPr>
        <w:spacing w:after="0" w:line="240" w:lineRule="auto"/>
        <w:jc w:val="center"/>
        <w:rPr>
          <w:rFonts w:ascii="Times New Roman" w:hAnsi="Times New Roman"/>
          <w:sz w:val="24"/>
          <w:szCs w:val="24"/>
        </w:rPr>
      </w:pPr>
      <w:r>
        <w:rPr>
          <w:noProof/>
        </w:rPr>
        <w:drawing>
          <wp:inline distT="0" distB="0" distL="0" distR="0" wp14:anchorId="56A82050" wp14:editId="73047EAE">
            <wp:extent cx="5731510" cy="3140075"/>
            <wp:effectExtent l="0" t="0" r="2540" b="3175"/>
            <wp:docPr id="844091950" name="Grafikon 1">
              <a:extLst xmlns:a="http://schemas.openxmlformats.org/drawingml/2006/main">
                <a:ext uri="{FF2B5EF4-FFF2-40B4-BE49-F238E27FC236}">
                  <a16:creationId xmlns:a16="http://schemas.microsoft.com/office/drawing/2014/main" id="{4CA16B15-3AC5-4919-8583-152556C52B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59E60E" w14:textId="77777777" w:rsidR="007E7D0A" w:rsidRDefault="007E7D0A" w:rsidP="00803102">
      <w:pPr>
        <w:spacing w:after="0" w:line="240" w:lineRule="auto"/>
        <w:jc w:val="center"/>
        <w:rPr>
          <w:rFonts w:ascii="Times New Roman" w:hAnsi="Times New Roman"/>
          <w:sz w:val="24"/>
          <w:szCs w:val="24"/>
        </w:rPr>
      </w:pPr>
    </w:p>
    <w:p w14:paraId="12B0736E" w14:textId="77777777" w:rsidR="007E7D0A" w:rsidRPr="00E721E2" w:rsidRDefault="007E7D0A" w:rsidP="00803102">
      <w:pPr>
        <w:spacing w:after="0" w:line="240" w:lineRule="auto"/>
        <w:jc w:val="center"/>
        <w:rPr>
          <w:rFonts w:ascii="Times New Roman" w:hAnsi="Times New Roman"/>
          <w:sz w:val="24"/>
          <w:szCs w:val="24"/>
        </w:rPr>
      </w:pPr>
    </w:p>
    <w:p w14:paraId="2C760094" w14:textId="77777777" w:rsidR="00803102" w:rsidRPr="00E721E2" w:rsidRDefault="00803102" w:rsidP="00803102">
      <w:pPr>
        <w:spacing w:after="0" w:line="240" w:lineRule="auto"/>
        <w:jc w:val="both"/>
        <w:rPr>
          <w:rFonts w:ascii="Times New Roman" w:hAnsi="Times New Roman"/>
          <w:sz w:val="24"/>
          <w:szCs w:val="24"/>
        </w:rPr>
      </w:pPr>
    </w:p>
    <w:p w14:paraId="4600F4B9" w14:textId="2C3944FD" w:rsidR="00803102" w:rsidRPr="00E721E2" w:rsidRDefault="00803102" w:rsidP="00803102">
      <w:pPr>
        <w:spacing w:after="0" w:line="240" w:lineRule="auto"/>
        <w:jc w:val="both"/>
        <w:rPr>
          <w:rFonts w:ascii="Times New Roman" w:hAnsi="Times New Roman"/>
          <w:color w:val="FF0000"/>
          <w:sz w:val="24"/>
          <w:szCs w:val="24"/>
        </w:rPr>
      </w:pPr>
      <w:r w:rsidRPr="00E721E2">
        <w:rPr>
          <w:rFonts w:ascii="Times New Roman" w:hAnsi="Times New Roman"/>
          <w:b/>
          <w:sz w:val="24"/>
          <w:szCs w:val="24"/>
        </w:rPr>
        <w:t>MATERIJALNI RASHODI</w:t>
      </w:r>
      <w:r w:rsidRPr="00E721E2">
        <w:rPr>
          <w:rFonts w:ascii="Times New Roman" w:hAnsi="Times New Roman"/>
          <w:sz w:val="24"/>
          <w:szCs w:val="24"/>
        </w:rPr>
        <w:t xml:space="preserve"> ostvareni su u iznosu od </w:t>
      </w:r>
      <w:r w:rsidR="00A203E5" w:rsidRPr="00E721E2">
        <w:rPr>
          <w:rFonts w:ascii="Times New Roman" w:hAnsi="Times New Roman"/>
          <w:sz w:val="24"/>
          <w:szCs w:val="24"/>
        </w:rPr>
        <w:t>1</w:t>
      </w:r>
      <w:r w:rsidR="008C3F0C">
        <w:rPr>
          <w:rFonts w:ascii="Times New Roman" w:hAnsi="Times New Roman"/>
          <w:sz w:val="24"/>
          <w:szCs w:val="24"/>
        </w:rPr>
        <w:t>90</w:t>
      </w:r>
      <w:r w:rsidR="00A203E5" w:rsidRPr="00E721E2">
        <w:rPr>
          <w:rFonts w:ascii="Times New Roman" w:hAnsi="Times New Roman"/>
          <w:sz w:val="24"/>
          <w:szCs w:val="24"/>
        </w:rPr>
        <w:t>.</w:t>
      </w:r>
      <w:r w:rsidR="008C3F0C">
        <w:rPr>
          <w:rFonts w:ascii="Times New Roman" w:hAnsi="Times New Roman"/>
          <w:sz w:val="24"/>
          <w:szCs w:val="24"/>
        </w:rPr>
        <w:t>374,17</w:t>
      </w:r>
      <w:r w:rsidRPr="00E721E2">
        <w:rPr>
          <w:rFonts w:ascii="Times New Roman" w:hAnsi="Times New Roman"/>
          <w:b/>
          <w:sz w:val="24"/>
          <w:szCs w:val="24"/>
        </w:rPr>
        <w:t xml:space="preserve"> </w:t>
      </w:r>
      <w:r w:rsidR="00B23113" w:rsidRPr="00E721E2">
        <w:rPr>
          <w:rFonts w:ascii="Times New Roman" w:hAnsi="Times New Roman"/>
          <w:bCs/>
          <w:sz w:val="24"/>
          <w:szCs w:val="24"/>
        </w:rPr>
        <w:t>eura</w:t>
      </w:r>
      <w:r w:rsidRPr="00E721E2">
        <w:rPr>
          <w:rFonts w:ascii="Times New Roman" w:hAnsi="Times New Roman"/>
          <w:sz w:val="24"/>
          <w:szCs w:val="24"/>
        </w:rPr>
        <w:t xml:space="preserve"> ili </w:t>
      </w:r>
      <w:r w:rsidR="008C3F0C">
        <w:rPr>
          <w:rFonts w:ascii="Times New Roman" w:hAnsi="Times New Roman"/>
          <w:sz w:val="24"/>
          <w:szCs w:val="24"/>
        </w:rPr>
        <w:t>71,51</w:t>
      </w:r>
      <w:r w:rsidRPr="00E721E2">
        <w:rPr>
          <w:rFonts w:ascii="Times New Roman" w:hAnsi="Times New Roman"/>
          <w:sz w:val="24"/>
          <w:szCs w:val="24"/>
        </w:rPr>
        <w:t xml:space="preserve">% planiranih materijalnih troškova, što je </w:t>
      </w:r>
      <w:r w:rsidR="008C3F0C">
        <w:rPr>
          <w:rFonts w:ascii="Times New Roman" w:hAnsi="Times New Roman"/>
          <w:sz w:val="24"/>
          <w:szCs w:val="24"/>
        </w:rPr>
        <w:t>25,80</w:t>
      </w:r>
      <w:r w:rsidRPr="00E721E2">
        <w:rPr>
          <w:rFonts w:ascii="Times New Roman" w:hAnsi="Times New Roman"/>
          <w:sz w:val="24"/>
          <w:szCs w:val="24"/>
        </w:rPr>
        <w:t xml:space="preserve">% ukupno ostvarenih rashoda. </w:t>
      </w:r>
    </w:p>
    <w:p w14:paraId="05717B5E" w14:textId="1E0D19F4" w:rsidR="006804F2" w:rsidRPr="00E721E2" w:rsidRDefault="00803102" w:rsidP="00803102">
      <w:pPr>
        <w:spacing w:after="0" w:line="240" w:lineRule="auto"/>
        <w:jc w:val="both"/>
        <w:rPr>
          <w:rFonts w:ascii="Times New Roman" w:hAnsi="Times New Roman"/>
          <w:sz w:val="24"/>
          <w:szCs w:val="24"/>
        </w:rPr>
      </w:pPr>
      <w:r w:rsidRPr="00E721E2">
        <w:rPr>
          <w:rFonts w:ascii="Times New Roman" w:hAnsi="Times New Roman"/>
          <w:sz w:val="24"/>
          <w:szCs w:val="24"/>
        </w:rPr>
        <w:t xml:space="preserve">Od toga naknade troškova zaposlenima iznose </w:t>
      </w:r>
      <w:r w:rsidR="008C3F0C">
        <w:rPr>
          <w:rFonts w:ascii="Times New Roman" w:hAnsi="Times New Roman"/>
          <w:sz w:val="24"/>
          <w:szCs w:val="24"/>
        </w:rPr>
        <w:t>34.903,92</w:t>
      </w:r>
      <w:r w:rsidR="00B23113" w:rsidRPr="00E721E2">
        <w:rPr>
          <w:rFonts w:ascii="Times New Roman" w:hAnsi="Times New Roman"/>
          <w:sz w:val="24"/>
          <w:szCs w:val="24"/>
        </w:rPr>
        <w:t xml:space="preserve"> eura</w:t>
      </w:r>
      <w:r w:rsidRPr="00E721E2">
        <w:rPr>
          <w:rFonts w:ascii="Times New Roman" w:hAnsi="Times New Roman"/>
          <w:sz w:val="24"/>
          <w:szCs w:val="24"/>
        </w:rPr>
        <w:t xml:space="preserve"> što čine rashodi za službena putovanja, naknada za prijevoz na posao i s posla te troškovi stručnog usavršavanja zaposlenika.</w:t>
      </w:r>
    </w:p>
    <w:p w14:paraId="1570EFFF" w14:textId="1981B62F" w:rsidR="006804F2" w:rsidRPr="00E721E2" w:rsidRDefault="00803102" w:rsidP="00803102">
      <w:pPr>
        <w:spacing w:after="0" w:line="240" w:lineRule="auto"/>
        <w:jc w:val="both"/>
        <w:rPr>
          <w:rFonts w:ascii="Times New Roman" w:hAnsi="Times New Roman"/>
          <w:sz w:val="24"/>
          <w:szCs w:val="24"/>
        </w:rPr>
      </w:pPr>
      <w:r w:rsidRPr="00E721E2">
        <w:rPr>
          <w:rFonts w:ascii="Times New Roman" w:hAnsi="Times New Roman"/>
          <w:sz w:val="24"/>
          <w:szCs w:val="24"/>
        </w:rPr>
        <w:t xml:space="preserve">Rashodi za materijal i energiju iznose </w:t>
      </w:r>
      <w:r w:rsidR="008C3F0C">
        <w:rPr>
          <w:rFonts w:ascii="Times New Roman" w:hAnsi="Times New Roman"/>
          <w:sz w:val="24"/>
          <w:szCs w:val="24"/>
        </w:rPr>
        <w:t>15.200,52</w:t>
      </w:r>
      <w:r w:rsidR="00B23113" w:rsidRPr="00E721E2">
        <w:rPr>
          <w:rFonts w:ascii="Times New Roman" w:hAnsi="Times New Roman"/>
          <w:sz w:val="24"/>
          <w:szCs w:val="24"/>
        </w:rPr>
        <w:t xml:space="preserve"> eura</w:t>
      </w:r>
      <w:r w:rsidRPr="00E721E2">
        <w:rPr>
          <w:rFonts w:ascii="Times New Roman" w:hAnsi="Times New Roman"/>
          <w:sz w:val="24"/>
          <w:szCs w:val="24"/>
        </w:rPr>
        <w:t>, a sastoje se od rashoda za uredski materijal, literaturu, materijal za čišćenje i higijenu, trošak energije (el. energija, plin, gorivo), materijal za tekuće i investicijsko održavanje te trošak sitnog inventara.</w:t>
      </w:r>
    </w:p>
    <w:p w14:paraId="1519EF4D" w14:textId="31108FC3" w:rsidR="00B23113" w:rsidRPr="00E721E2" w:rsidRDefault="00B23113" w:rsidP="00803102">
      <w:pPr>
        <w:spacing w:after="0" w:line="240" w:lineRule="auto"/>
        <w:jc w:val="both"/>
        <w:rPr>
          <w:rFonts w:ascii="Times New Roman" w:hAnsi="Times New Roman"/>
          <w:sz w:val="24"/>
          <w:szCs w:val="24"/>
        </w:rPr>
      </w:pPr>
      <w:r w:rsidRPr="00E721E2">
        <w:rPr>
          <w:rFonts w:ascii="Times New Roman" w:hAnsi="Times New Roman"/>
          <w:sz w:val="24"/>
          <w:szCs w:val="24"/>
        </w:rPr>
        <w:t>Rashodi za usluge koji se sastoje od troškova telefona, usluga tekućeg i investicijskog održavanja, usluga promidžbe i informiranja, komunalnih usluga, zakupnina, zdravstvenih usl</w:t>
      </w:r>
      <w:r w:rsidR="000071E8" w:rsidRPr="00E721E2">
        <w:rPr>
          <w:rFonts w:ascii="Times New Roman" w:hAnsi="Times New Roman"/>
          <w:sz w:val="24"/>
          <w:szCs w:val="24"/>
        </w:rPr>
        <w:t>u</w:t>
      </w:r>
      <w:r w:rsidRPr="00E721E2">
        <w:rPr>
          <w:rFonts w:ascii="Times New Roman" w:hAnsi="Times New Roman"/>
          <w:sz w:val="24"/>
          <w:szCs w:val="24"/>
        </w:rPr>
        <w:t xml:space="preserve">ga, intelektualnih </w:t>
      </w:r>
      <w:r w:rsidR="000071E8" w:rsidRPr="00E721E2">
        <w:rPr>
          <w:rFonts w:ascii="Times New Roman" w:hAnsi="Times New Roman"/>
          <w:sz w:val="24"/>
          <w:szCs w:val="24"/>
        </w:rPr>
        <w:t xml:space="preserve">usluga i računalnih usluga iznose </w:t>
      </w:r>
      <w:r w:rsidR="008C3F0C">
        <w:rPr>
          <w:rFonts w:ascii="Times New Roman" w:hAnsi="Times New Roman"/>
          <w:sz w:val="24"/>
          <w:szCs w:val="24"/>
        </w:rPr>
        <w:t>120.164,88</w:t>
      </w:r>
      <w:r w:rsidR="000071E8" w:rsidRPr="00E721E2">
        <w:rPr>
          <w:rFonts w:ascii="Times New Roman" w:hAnsi="Times New Roman"/>
          <w:sz w:val="24"/>
          <w:szCs w:val="24"/>
        </w:rPr>
        <w:t xml:space="preserve"> eura.</w:t>
      </w:r>
    </w:p>
    <w:p w14:paraId="3595B820" w14:textId="5CA41F3D" w:rsidR="00803102" w:rsidRDefault="00803102" w:rsidP="00803102">
      <w:pPr>
        <w:spacing w:after="0" w:line="240" w:lineRule="auto"/>
        <w:jc w:val="both"/>
        <w:rPr>
          <w:rFonts w:ascii="Times New Roman" w:hAnsi="Times New Roman"/>
          <w:sz w:val="24"/>
          <w:szCs w:val="24"/>
        </w:rPr>
      </w:pPr>
      <w:r w:rsidRPr="00A330D4">
        <w:rPr>
          <w:rFonts w:ascii="Times New Roman" w:hAnsi="Times New Roman"/>
          <w:sz w:val="24"/>
          <w:szCs w:val="24"/>
        </w:rPr>
        <w:t xml:space="preserve">Naknade troškova osobama izvan radnog odnosa iznose </w:t>
      </w:r>
      <w:r w:rsidR="008C3F0C" w:rsidRPr="00A330D4">
        <w:rPr>
          <w:rFonts w:ascii="Times New Roman" w:hAnsi="Times New Roman"/>
          <w:sz w:val="24"/>
          <w:szCs w:val="24"/>
        </w:rPr>
        <w:t>7.277,15</w:t>
      </w:r>
      <w:r w:rsidR="000071E8" w:rsidRPr="00A330D4">
        <w:rPr>
          <w:rFonts w:ascii="Times New Roman" w:hAnsi="Times New Roman"/>
          <w:sz w:val="24"/>
          <w:szCs w:val="24"/>
        </w:rPr>
        <w:t xml:space="preserve"> eura</w:t>
      </w:r>
      <w:r w:rsidRPr="00A330D4">
        <w:rPr>
          <w:rFonts w:ascii="Times New Roman" w:hAnsi="Times New Roman"/>
          <w:sz w:val="24"/>
          <w:szCs w:val="24"/>
        </w:rPr>
        <w:t xml:space="preserve"> </w:t>
      </w:r>
      <w:r w:rsidR="00A10286" w:rsidRPr="00A330D4">
        <w:rPr>
          <w:rFonts w:ascii="Times New Roman" w:hAnsi="Times New Roman"/>
          <w:sz w:val="24"/>
          <w:szCs w:val="24"/>
        </w:rPr>
        <w:t>vez</w:t>
      </w:r>
      <w:r w:rsidR="00C665F8" w:rsidRPr="00A330D4">
        <w:rPr>
          <w:rFonts w:ascii="Times New Roman" w:hAnsi="Times New Roman"/>
          <w:sz w:val="24"/>
          <w:szCs w:val="24"/>
        </w:rPr>
        <w:t>a</w:t>
      </w:r>
      <w:r w:rsidR="00A10286" w:rsidRPr="00A330D4">
        <w:rPr>
          <w:rFonts w:ascii="Times New Roman" w:hAnsi="Times New Roman"/>
          <w:sz w:val="24"/>
          <w:szCs w:val="24"/>
        </w:rPr>
        <w:t>n</w:t>
      </w:r>
      <w:r w:rsidR="00C665F8" w:rsidRPr="00A330D4">
        <w:rPr>
          <w:rFonts w:ascii="Times New Roman" w:hAnsi="Times New Roman"/>
          <w:sz w:val="24"/>
          <w:szCs w:val="24"/>
        </w:rPr>
        <w:t>e</w:t>
      </w:r>
      <w:r w:rsidR="00A10286" w:rsidRPr="00A330D4">
        <w:rPr>
          <w:rFonts w:ascii="Times New Roman" w:hAnsi="Times New Roman"/>
          <w:sz w:val="24"/>
          <w:szCs w:val="24"/>
        </w:rPr>
        <w:t xml:space="preserve"> su uz aktivnosti provedbe EU projekata </w:t>
      </w:r>
      <w:r w:rsidR="006804F2" w:rsidRPr="00E721E2">
        <w:rPr>
          <w:rFonts w:ascii="Times New Roman" w:hAnsi="Times New Roman"/>
          <w:sz w:val="24"/>
          <w:szCs w:val="24"/>
        </w:rPr>
        <w:t>dok</w:t>
      </w:r>
      <w:r w:rsidRPr="00E721E2">
        <w:rPr>
          <w:rFonts w:ascii="Times New Roman" w:hAnsi="Times New Roman"/>
          <w:sz w:val="24"/>
          <w:szCs w:val="24"/>
        </w:rPr>
        <w:t xml:space="preserve"> ostali nespomenuti rashodi iznose </w:t>
      </w:r>
      <w:r w:rsidR="008C3F0C">
        <w:rPr>
          <w:rFonts w:ascii="Times New Roman" w:hAnsi="Times New Roman"/>
          <w:sz w:val="24"/>
          <w:szCs w:val="24"/>
        </w:rPr>
        <w:t>12.827,70</w:t>
      </w:r>
      <w:r w:rsidR="000071E8" w:rsidRPr="00E721E2">
        <w:rPr>
          <w:rFonts w:ascii="Times New Roman" w:hAnsi="Times New Roman"/>
          <w:sz w:val="24"/>
          <w:szCs w:val="24"/>
        </w:rPr>
        <w:t xml:space="preserve"> eura</w:t>
      </w:r>
      <w:r w:rsidRPr="00E721E2">
        <w:rPr>
          <w:rFonts w:ascii="Times New Roman" w:hAnsi="Times New Roman"/>
          <w:sz w:val="24"/>
          <w:szCs w:val="24"/>
        </w:rPr>
        <w:t xml:space="preserve">, a obuhvaćaju premije osiguranja, naknade članovima Upravnog vijeća Razvojne agencije PORE KKŽ, reprezentaciju, članarine, pristojbe i naknade te ostale rashode.  </w:t>
      </w:r>
    </w:p>
    <w:p w14:paraId="1C561CF6" w14:textId="77777777" w:rsidR="00F120D7" w:rsidRDefault="00F120D7" w:rsidP="00803102">
      <w:pPr>
        <w:spacing w:after="0" w:line="240" w:lineRule="auto"/>
        <w:jc w:val="both"/>
        <w:rPr>
          <w:rFonts w:ascii="Times New Roman" w:hAnsi="Times New Roman"/>
          <w:sz w:val="24"/>
          <w:szCs w:val="24"/>
        </w:rPr>
      </w:pPr>
    </w:p>
    <w:p w14:paraId="4BC58688" w14:textId="66E6EC4E" w:rsidR="00803102" w:rsidRPr="00E721E2" w:rsidRDefault="00803102" w:rsidP="00803102">
      <w:pPr>
        <w:spacing w:after="0" w:line="240" w:lineRule="auto"/>
        <w:jc w:val="both"/>
        <w:rPr>
          <w:rFonts w:ascii="Times New Roman" w:hAnsi="Times New Roman"/>
          <w:b/>
          <w:color w:val="FF0000"/>
          <w:sz w:val="24"/>
          <w:szCs w:val="24"/>
        </w:rPr>
      </w:pPr>
    </w:p>
    <w:p w14:paraId="73C6E040" w14:textId="50C5A9C3" w:rsidR="00803102" w:rsidRPr="00E721E2" w:rsidRDefault="00803102" w:rsidP="00803102">
      <w:pPr>
        <w:spacing w:after="0" w:line="240" w:lineRule="auto"/>
        <w:rPr>
          <w:rFonts w:ascii="Times New Roman" w:hAnsi="Times New Roman"/>
          <w:bCs/>
          <w:sz w:val="24"/>
          <w:szCs w:val="24"/>
        </w:rPr>
      </w:pPr>
      <w:r w:rsidRPr="00E721E2">
        <w:rPr>
          <w:rFonts w:ascii="Times New Roman" w:hAnsi="Times New Roman"/>
          <w:bCs/>
          <w:sz w:val="24"/>
          <w:szCs w:val="24"/>
        </w:rPr>
        <w:t xml:space="preserve">Tablica </w:t>
      </w:r>
      <w:r w:rsidR="00413EE5">
        <w:rPr>
          <w:rFonts w:ascii="Times New Roman" w:hAnsi="Times New Roman"/>
          <w:bCs/>
          <w:sz w:val="24"/>
          <w:szCs w:val="24"/>
        </w:rPr>
        <w:t>5</w:t>
      </w:r>
      <w:r w:rsidRPr="00E721E2">
        <w:rPr>
          <w:rFonts w:ascii="Times New Roman" w:hAnsi="Times New Roman"/>
          <w:bCs/>
          <w:sz w:val="24"/>
          <w:szCs w:val="24"/>
        </w:rPr>
        <w:t>. Materijalni rashodi prema strukturi</w:t>
      </w:r>
    </w:p>
    <w:tbl>
      <w:tblPr>
        <w:tblStyle w:val="TableGrid"/>
        <w:tblW w:w="0" w:type="auto"/>
        <w:tblLook w:val="04A0" w:firstRow="1" w:lastRow="0" w:firstColumn="1" w:lastColumn="0" w:noHBand="0" w:noVBand="1"/>
      </w:tblPr>
      <w:tblGrid>
        <w:gridCol w:w="4503"/>
        <w:gridCol w:w="2821"/>
        <w:gridCol w:w="1692"/>
      </w:tblGrid>
      <w:tr w:rsidR="007E7D0A" w:rsidRPr="00E721E2" w14:paraId="1E18F3A3" w14:textId="77777777" w:rsidTr="006B3AE1">
        <w:tc>
          <w:tcPr>
            <w:tcW w:w="4530" w:type="dxa"/>
            <w:shd w:val="clear" w:color="auto" w:fill="E7E6E6" w:themeFill="background2"/>
          </w:tcPr>
          <w:p w14:paraId="2F95F714" w14:textId="77777777" w:rsidR="00803102" w:rsidRPr="00E721E2" w:rsidRDefault="00803102" w:rsidP="00C15CC1">
            <w:pPr>
              <w:jc w:val="center"/>
              <w:rPr>
                <w:rFonts w:ascii="Times New Roman" w:hAnsi="Times New Roman"/>
                <w:b/>
                <w:sz w:val="24"/>
                <w:szCs w:val="24"/>
                <w:lang w:val="hr-HR"/>
              </w:rPr>
            </w:pPr>
            <w:r w:rsidRPr="00E721E2">
              <w:rPr>
                <w:rFonts w:ascii="Times New Roman" w:hAnsi="Times New Roman"/>
                <w:b/>
                <w:sz w:val="24"/>
                <w:szCs w:val="24"/>
                <w:lang w:val="hr-HR"/>
              </w:rPr>
              <w:t>Opis</w:t>
            </w:r>
          </w:p>
        </w:tc>
        <w:tc>
          <w:tcPr>
            <w:tcW w:w="2834" w:type="dxa"/>
            <w:shd w:val="clear" w:color="auto" w:fill="E7E6E6" w:themeFill="background2"/>
          </w:tcPr>
          <w:p w14:paraId="27348F9C" w14:textId="7D3560DA" w:rsidR="00803102" w:rsidRPr="00E721E2" w:rsidRDefault="00803102" w:rsidP="00C15CC1">
            <w:pPr>
              <w:jc w:val="center"/>
              <w:rPr>
                <w:rFonts w:ascii="Times New Roman" w:hAnsi="Times New Roman"/>
                <w:b/>
                <w:sz w:val="24"/>
                <w:szCs w:val="24"/>
                <w:lang w:val="hr-HR"/>
              </w:rPr>
            </w:pPr>
            <w:r w:rsidRPr="00E721E2">
              <w:rPr>
                <w:rFonts w:ascii="Times New Roman" w:hAnsi="Times New Roman"/>
                <w:b/>
                <w:sz w:val="24"/>
                <w:szCs w:val="24"/>
                <w:lang w:val="hr-HR"/>
              </w:rPr>
              <w:t>Izvršenje za 202</w:t>
            </w:r>
            <w:r w:rsidR="001D75D0" w:rsidRPr="00E721E2">
              <w:rPr>
                <w:rFonts w:ascii="Times New Roman" w:hAnsi="Times New Roman"/>
                <w:b/>
                <w:sz w:val="24"/>
                <w:szCs w:val="24"/>
                <w:lang w:val="hr-HR"/>
              </w:rPr>
              <w:t>4</w:t>
            </w:r>
            <w:r w:rsidRPr="00E721E2">
              <w:rPr>
                <w:rFonts w:ascii="Times New Roman" w:hAnsi="Times New Roman"/>
                <w:b/>
                <w:sz w:val="24"/>
                <w:szCs w:val="24"/>
                <w:lang w:val="hr-HR"/>
              </w:rPr>
              <w:t>.</w:t>
            </w:r>
          </w:p>
        </w:tc>
        <w:tc>
          <w:tcPr>
            <w:tcW w:w="1696" w:type="dxa"/>
            <w:shd w:val="clear" w:color="auto" w:fill="E7E6E6" w:themeFill="background2"/>
          </w:tcPr>
          <w:p w14:paraId="2676293E" w14:textId="77777777" w:rsidR="00803102" w:rsidRPr="00E721E2" w:rsidRDefault="00803102" w:rsidP="00C15CC1">
            <w:pPr>
              <w:jc w:val="center"/>
              <w:rPr>
                <w:rFonts w:ascii="Times New Roman" w:hAnsi="Times New Roman"/>
                <w:b/>
                <w:sz w:val="24"/>
                <w:szCs w:val="24"/>
                <w:lang w:val="hr-HR"/>
              </w:rPr>
            </w:pPr>
            <w:r w:rsidRPr="00E721E2">
              <w:rPr>
                <w:rFonts w:ascii="Times New Roman" w:hAnsi="Times New Roman"/>
                <w:b/>
                <w:sz w:val="24"/>
                <w:szCs w:val="24"/>
                <w:lang w:val="hr-HR"/>
              </w:rPr>
              <w:t>Struktura</w:t>
            </w:r>
          </w:p>
        </w:tc>
      </w:tr>
      <w:tr w:rsidR="007E7D0A" w:rsidRPr="00E721E2" w14:paraId="5575659D" w14:textId="77777777" w:rsidTr="00C15CC1">
        <w:tc>
          <w:tcPr>
            <w:tcW w:w="4530" w:type="dxa"/>
          </w:tcPr>
          <w:p w14:paraId="3E476BF6"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Naknade troškova zaposlenima</w:t>
            </w:r>
          </w:p>
        </w:tc>
        <w:tc>
          <w:tcPr>
            <w:tcW w:w="2834" w:type="dxa"/>
          </w:tcPr>
          <w:p w14:paraId="55059B9A" w14:textId="127AA0B5"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34.903,92</w:t>
            </w:r>
          </w:p>
        </w:tc>
        <w:tc>
          <w:tcPr>
            <w:tcW w:w="1696" w:type="dxa"/>
          </w:tcPr>
          <w:p w14:paraId="532F379D" w14:textId="5844E0AC" w:rsidR="00803102" w:rsidRPr="00E721E2" w:rsidRDefault="001D75D0" w:rsidP="00C15CC1">
            <w:pPr>
              <w:jc w:val="right"/>
              <w:rPr>
                <w:rFonts w:ascii="Times New Roman" w:hAnsi="Times New Roman"/>
                <w:bCs/>
                <w:sz w:val="24"/>
                <w:szCs w:val="24"/>
                <w:lang w:val="hr-HR"/>
              </w:rPr>
            </w:pPr>
            <w:r w:rsidRPr="00E721E2">
              <w:rPr>
                <w:rFonts w:ascii="Times New Roman" w:hAnsi="Times New Roman"/>
                <w:bCs/>
                <w:sz w:val="24"/>
                <w:szCs w:val="24"/>
                <w:lang w:val="hr-HR"/>
              </w:rPr>
              <w:t>1</w:t>
            </w:r>
            <w:r w:rsidR="007E7D0A">
              <w:rPr>
                <w:rFonts w:ascii="Times New Roman" w:hAnsi="Times New Roman"/>
                <w:bCs/>
                <w:sz w:val="24"/>
                <w:szCs w:val="24"/>
                <w:lang w:val="hr-HR"/>
              </w:rPr>
              <w:t>8,33</w:t>
            </w:r>
            <w:r w:rsidR="00803102" w:rsidRPr="00E721E2">
              <w:rPr>
                <w:rFonts w:ascii="Times New Roman" w:hAnsi="Times New Roman"/>
                <w:bCs/>
                <w:sz w:val="24"/>
                <w:szCs w:val="24"/>
                <w:lang w:val="hr-HR"/>
              </w:rPr>
              <w:t>%</w:t>
            </w:r>
          </w:p>
        </w:tc>
      </w:tr>
      <w:tr w:rsidR="007E7D0A" w:rsidRPr="00E721E2" w14:paraId="66C8CEB1" w14:textId="77777777" w:rsidTr="00C15CC1">
        <w:tc>
          <w:tcPr>
            <w:tcW w:w="4530" w:type="dxa"/>
          </w:tcPr>
          <w:p w14:paraId="13C8213D"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Rashodi za materijal i energiju</w:t>
            </w:r>
          </w:p>
        </w:tc>
        <w:tc>
          <w:tcPr>
            <w:tcW w:w="2834" w:type="dxa"/>
          </w:tcPr>
          <w:p w14:paraId="7FAFD588" w14:textId="41BB3E19"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15.200,52</w:t>
            </w:r>
          </w:p>
        </w:tc>
        <w:tc>
          <w:tcPr>
            <w:tcW w:w="1696" w:type="dxa"/>
          </w:tcPr>
          <w:p w14:paraId="179FC156" w14:textId="7FF91F99"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7,9</w:t>
            </w:r>
            <w:r w:rsidR="008C3F0C">
              <w:rPr>
                <w:rFonts w:ascii="Times New Roman" w:hAnsi="Times New Roman"/>
                <w:bCs/>
                <w:sz w:val="24"/>
                <w:szCs w:val="24"/>
                <w:lang w:val="hr-HR"/>
              </w:rPr>
              <w:t>9</w:t>
            </w:r>
            <w:r w:rsidR="00803102" w:rsidRPr="00E721E2">
              <w:rPr>
                <w:rFonts w:ascii="Times New Roman" w:hAnsi="Times New Roman"/>
                <w:bCs/>
                <w:sz w:val="24"/>
                <w:szCs w:val="24"/>
                <w:lang w:val="hr-HR"/>
              </w:rPr>
              <w:t>%</w:t>
            </w:r>
          </w:p>
        </w:tc>
      </w:tr>
      <w:tr w:rsidR="007E7D0A" w:rsidRPr="00E721E2" w14:paraId="2FACECC2" w14:textId="77777777" w:rsidTr="00C15CC1">
        <w:tc>
          <w:tcPr>
            <w:tcW w:w="4530" w:type="dxa"/>
          </w:tcPr>
          <w:p w14:paraId="40AE3CF5"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Rashodi za usluge</w:t>
            </w:r>
          </w:p>
        </w:tc>
        <w:tc>
          <w:tcPr>
            <w:tcW w:w="2834" w:type="dxa"/>
          </w:tcPr>
          <w:p w14:paraId="776568FA" w14:textId="45CEA5B5"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120.164,88</w:t>
            </w:r>
          </w:p>
        </w:tc>
        <w:tc>
          <w:tcPr>
            <w:tcW w:w="1696" w:type="dxa"/>
          </w:tcPr>
          <w:p w14:paraId="08794732" w14:textId="587DCF96"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63,12</w:t>
            </w:r>
            <w:r w:rsidR="00803102" w:rsidRPr="00E721E2">
              <w:rPr>
                <w:rFonts w:ascii="Times New Roman" w:hAnsi="Times New Roman"/>
                <w:bCs/>
                <w:sz w:val="24"/>
                <w:szCs w:val="24"/>
                <w:lang w:val="hr-HR"/>
              </w:rPr>
              <w:t>%</w:t>
            </w:r>
          </w:p>
        </w:tc>
      </w:tr>
      <w:tr w:rsidR="007E7D0A" w:rsidRPr="00E721E2" w14:paraId="6F82325C" w14:textId="77777777" w:rsidTr="00C15CC1">
        <w:tc>
          <w:tcPr>
            <w:tcW w:w="4530" w:type="dxa"/>
          </w:tcPr>
          <w:p w14:paraId="18038CAB"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Naknade troškova osobama izvan radnog odnosa</w:t>
            </w:r>
          </w:p>
        </w:tc>
        <w:tc>
          <w:tcPr>
            <w:tcW w:w="2834" w:type="dxa"/>
            <w:vAlign w:val="center"/>
          </w:tcPr>
          <w:p w14:paraId="5B384CD1" w14:textId="4D5ABC43"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7.277,15</w:t>
            </w:r>
          </w:p>
        </w:tc>
        <w:tc>
          <w:tcPr>
            <w:tcW w:w="1696" w:type="dxa"/>
            <w:vAlign w:val="center"/>
          </w:tcPr>
          <w:p w14:paraId="19E7DFD2" w14:textId="28CDC371"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3,82</w:t>
            </w:r>
            <w:r w:rsidR="00803102" w:rsidRPr="00E721E2">
              <w:rPr>
                <w:rFonts w:ascii="Times New Roman" w:hAnsi="Times New Roman"/>
                <w:bCs/>
                <w:sz w:val="24"/>
                <w:szCs w:val="24"/>
                <w:lang w:val="hr-HR"/>
              </w:rPr>
              <w:t>%</w:t>
            </w:r>
          </w:p>
        </w:tc>
      </w:tr>
      <w:tr w:rsidR="007E7D0A" w:rsidRPr="00E721E2" w14:paraId="3FA56E14" w14:textId="77777777" w:rsidTr="00C15CC1">
        <w:tc>
          <w:tcPr>
            <w:tcW w:w="4530" w:type="dxa"/>
          </w:tcPr>
          <w:p w14:paraId="70D2E0AA" w14:textId="77777777" w:rsidR="00803102" w:rsidRPr="00E721E2" w:rsidRDefault="00803102" w:rsidP="00C15CC1">
            <w:pPr>
              <w:rPr>
                <w:rFonts w:ascii="Times New Roman" w:hAnsi="Times New Roman"/>
                <w:bCs/>
                <w:sz w:val="24"/>
                <w:szCs w:val="24"/>
                <w:lang w:val="hr-HR"/>
              </w:rPr>
            </w:pPr>
            <w:r w:rsidRPr="00E721E2">
              <w:rPr>
                <w:rFonts w:ascii="Times New Roman" w:hAnsi="Times New Roman"/>
                <w:bCs/>
                <w:sz w:val="24"/>
                <w:szCs w:val="24"/>
                <w:lang w:val="hr-HR"/>
              </w:rPr>
              <w:t>Ostali nespomenuti rashodi</w:t>
            </w:r>
          </w:p>
        </w:tc>
        <w:tc>
          <w:tcPr>
            <w:tcW w:w="2834" w:type="dxa"/>
          </w:tcPr>
          <w:p w14:paraId="6501D3AA" w14:textId="42443523"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12.827,70</w:t>
            </w:r>
          </w:p>
        </w:tc>
        <w:tc>
          <w:tcPr>
            <w:tcW w:w="1696" w:type="dxa"/>
          </w:tcPr>
          <w:p w14:paraId="12220EFB" w14:textId="06E24589" w:rsidR="00803102" w:rsidRPr="00E721E2" w:rsidRDefault="007E7D0A" w:rsidP="00C15CC1">
            <w:pPr>
              <w:jc w:val="right"/>
              <w:rPr>
                <w:rFonts w:ascii="Times New Roman" w:hAnsi="Times New Roman"/>
                <w:bCs/>
                <w:sz w:val="24"/>
                <w:szCs w:val="24"/>
                <w:lang w:val="hr-HR"/>
              </w:rPr>
            </w:pPr>
            <w:r>
              <w:rPr>
                <w:rFonts w:ascii="Times New Roman" w:hAnsi="Times New Roman"/>
                <w:bCs/>
                <w:sz w:val="24"/>
                <w:szCs w:val="24"/>
                <w:lang w:val="hr-HR"/>
              </w:rPr>
              <w:t>6,74</w:t>
            </w:r>
            <w:r w:rsidR="00803102" w:rsidRPr="00E721E2">
              <w:rPr>
                <w:rFonts w:ascii="Times New Roman" w:hAnsi="Times New Roman"/>
                <w:bCs/>
                <w:sz w:val="24"/>
                <w:szCs w:val="24"/>
                <w:lang w:val="hr-HR"/>
              </w:rPr>
              <w:t>%</w:t>
            </w:r>
          </w:p>
        </w:tc>
      </w:tr>
      <w:tr w:rsidR="007E7D0A" w:rsidRPr="00E721E2" w14:paraId="347E6747" w14:textId="77777777" w:rsidTr="00C15CC1">
        <w:tc>
          <w:tcPr>
            <w:tcW w:w="4530" w:type="dxa"/>
          </w:tcPr>
          <w:p w14:paraId="487CC643" w14:textId="77777777" w:rsidR="00803102" w:rsidRPr="00E721E2" w:rsidRDefault="00803102" w:rsidP="00C15CC1">
            <w:pPr>
              <w:rPr>
                <w:rFonts w:ascii="Times New Roman" w:hAnsi="Times New Roman"/>
                <w:b/>
                <w:sz w:val="24"/>
                <w:szCs w:val="24"/>
                <w:lang w:val="hr-HR"/>
              </w:rPr>
            </w:pPr>
            <w:r w:rsidRPr="00E721E2">
              <w:rPr>
                <w:rFonts w:ascii="Times New Roman" w:hAnsi="Times New Roman"/>
                <w:b/>
                <w:sz w:val="24"/>
                <w:szCs w:val="24"/>
                <w:lang w:val="hr-HR"/>
              </w:rPr>
              <w:t>UKUPNO:</w:t>
            </w:r>
          </w:p>
        </w:tc>
        <w:tc>
          <w:tcPr>
            <w:tcW w:w="2834" w:type="dxa"/>
          </w:tcPr>
          <w:p w14:paraId="75CEDFBD" w14:textId="10F3A3B3" w:rsidR="00803102" w:rsidRPr="00E721E2" w:rsidRDefault="007E7D0A" w:rsidP="00C15CC1">
            <w:pPr>
              <w:jc w:val="right"/>
              <w:rPr>
                <w:rFonts w:ascii="Times New Roman" w:hAnsi="Times New Roman"/>
                <w:b/>
                <w:sz w:val="24"/>
                <w:szCs w:val="24"/>
                <w:lang w:val="hr-HR"/>
              </w:rPr>
            </w:pPr>
            <w:r>
              <w:rPr>
                <w:rFonts w:ascii="Times New Roman" w:hAnsi="Times New Roman"/>
                <w:b/>
                <w:sz w:val="24"/>
                <w:szCs w:val="24"/>
                <w:lang w:val="hr-HR"/>
              </w:rPr>
              <w:t>190.374,17</w:t>
            </w:r>
          </w:p>
        </w:tc>
        <w:tc>
          <w:tcPr>
            <w:tcW w:w="1696" w:type="dxa"/>
          </w:tcPr>
          <w:p w14:paraId="1C6A48FA" w14:textId="77777777" w:rsidR="00803102" w:rsidRPr="00E721E2" w:rsidRDefault="00803102" w:rsidP="00C15CC1">
            <w:pPr>
              <w:jc w:val="right"/>
              <w:rPr>
                <w:rFonts w:ascii="Times New Roman" w:hAnsi="Times New Roman"/>
                <w:b/>
                <w:sz w:val="24"/>
                <w:szCs w:val="24"/>
                <w:lang w:val="hr-HR"/>
              </w:rPr>
            </w:pPr>
            <w:r w:rsidRPr="00E721E2">
              <w:rPr>
                <w:rFonts w:ascii="Times New Roman" w:hAnsi="Times New Roman"/>
                <w:b/>
                <w:sz w:val="24"/>
                <w:szCs w:val="24"/>
                <w:lang w:val="hr-HR"/>
              </w:rPr>
              <w:t>100,00%</w:t>
            </w:r>
          </w:p>
        </w:tc>
      </w:tr>
    </w:tbl>
    <w:p w14:paraId="704CDB11" w14:textId="7A57B2E7" w:rsidR="00803102" w:rsidRDefault="00803102" w:rsidP="00803102">
      <w:pPr>
        <w:spacing w:after="0" w:line="240" w:lineRule="auto"/>
        <w:jc w:val="both"/>
        <w:rPr>
          <w:rFonts w:ascii="Times New Roman" w:hAnsi="Times New Roman"/>
          <w:b/>
          <w:sz w:val="24"/>
          <w:szCs w:val="24"/>
        </w:rPr>
      </w:pPr>
    </w:p>
    <w:p w14:paraId="063B5774" w14:textId="4ADB7AF1" w:rsidR="00C7471E" w:rsidRDefault="00803102" w:rsidP="00803102">
      <w:pPr>
        <w:spacing w:after="0" w:line="240" w:lineRule="auto"/>
        <w:jc w:val="center"/>
        <w:rPr>
          <w:rFonts w:ascii="Times New Roman" w:hAnsi="Times New Roman"/>
          <w:bCs/>
          <w:sz w:val="24"/>
          <w:szCs w:val="24"/>
        </w:rPr>
      </w:pPr>
      <w:r w:rsidRPr="00E721E2">
        <w:rPr>
          <w:rFonts w:ascii="Times New Roman" w:hAnsi="Times New Roman"/>
          <w:bCs/>
          <w:sz w:val="24"/>
          <w:szCs w:val="24"/>
        </w:rPr>
        <w:lastRenderedPageBreak/>
        <w:t xml:space="preserve">Grafikon </w:t>
      </w:r>
      <w:r w:rsidR="00EF280A" w:rsidRPr="00E721E2">
        <w:rPr>
          <w:rFonts w:ascii="Times New Roman" w:hAnsi="Times New Roman"/>
          <w:bCs/>
          <w:sz w:val="24"/>
          <w:szCs w:val="24"/>
        </w:rPr>
        <w:t>5</w:t>
      </w:r>
      <w:r w:rsidRPr="00E721E2">
        <w:rPr>
          <w:rFonts w:ascii="Times New Roman" w:hAnsi="Times New Roman"/>
          <w:bCs/>
          <w:sz w:val="24"/>
          <w:szCs w:val="24"/>
        </w:rPr>
        <w:t>. Materijalni rashodi po vrstama za 202</w:t>
      </w:r>
      <w:r w:rsidR="00B634B3" w:rsidRPr="00E721E2">
        <w:rPr>
          <w:rFonts w:ascii="Times New Roman" w:hAnsi="Times New Roman"/>
          <w:bCs/>
          <w:sz w:val="24"/>
          <w:szCs w:val="24"/>
        </w:rPr>
        <w:t>4</w:t>
      </w:r>
      <w:r w:rsidRPr="00E721E2">
        <w:rPr>
          <w:rFonts w:ascii="Times New Roman" w:hAnsi="Times New Roman"/>
          <w:bCs/>
          <w:sz w:val="24"/>
          <w:szCs w:val="24"/>
        </w:rPr>
        <w:t>. godinu</w:t>
      </w:r>
    </w:p>
    <w:p w14:paraId="0F666D7A" w14:textId="77777777" w:rsidR="008C3F0C" w:rsidRDefault="008C3F0C" w:rsidP="00803102">
      <w:pPr>
        <w:spacing w:after="0" w:line="240" w:lineRule="auto"/>
        <w:jc w:val="center"/>
        <w:rPr>
          <w:rFonts w:ascii="Times New Roman" w:hAnsi="Times New Roman"/>
          <w:bCs/>
          <w:sz w:val="24"/>
          <w:szCs w:val="24"/>
        </w:rPr>
      </w:pPr>
    </w:p>
    <w:p w14:paraId="15C17CBC" w14:textId="47911B0A" w:rsidR="008C3F0C" w:rsidRPr="00E721E2" w:rsidRDefault="008C3F0C" w:rsidP="00803102">
      <w:pPr>
        <w:spacing w:after="0" w:line="240" w:lineRule="auto"/>
        <w:jc w:val="center"/>
        <w:rPr>
          <w:rFonts w:ascii="Times New Roman" w:hAnsi="Times New Roman"/>
          <w:bCs/>
          <w:sz w:val="24"/>
          <w:szCs w:val="24"/>
        </w:rPr>
      </w:pPr>
      <w:r>
        <w:rPr>
          <w:noProof/>
        </w:rPr>
        <w:drawing>
          <wp:inline distT="0" distB="0" distL="0" distR="0" wp14:anchorId="24C72241" wp14:editId="0D6408B4">
            <wp:extent cx="5731510" cy="3372307"/>
            <wp:effectExtent l="0" t="0" r="2540" b="0"/>
            <wp:docPr id="473501489" name="Grafikon 1">
              <a:extLst xmlns:a="http://schemas.openxmlformats.org/drawingml/2006/main">
                <a:ext uri="{FF2B5EF4-FFF2-40B4-BE49-F238E27FC236}">
                  <a16:creationId xmlns:a16="http://schemas.microsoft.com/office/drawing/2014/main" id="{202390B1-E1CB-4B35-B2D1-1FC09CC1A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6367F1" w14:textId="77777777" w:rsidR="006071A9" w:rsidRPr="00E721E2" w:rsidRDefault="006071A9" w:rsidP="00803102">
      <w:pPr>
        <w:spacing w:after="0" w:line="240" w:lineRule="auto"/>
        <w:jc w:val="center"/>
        <w:rPr>
          <w:rFonts w:ascii="Times New Roman" w:hAnsi="Times New Roman"/>
          <w:bCs/>
          <w:sz w:val="24"/>
          <w:szCs w:val="24"/>
        </w:rPr>
      </w:pPr>
    </w:p>
    <w:p w14:paraId="2DACD5C8" w14:textId="77777777" w:rsidR="006071A9" w:rsidRPr="00E721E2" w:rsidRDefault="006071A9" w:rsidP="00803102">
      <w:pPr>
        <w:spacing w:after="0" w:line="240" w:lineRule="auto"/>
        <w:jc w:val="center"/>
        <w:rPr>
          <w:rFonts w:ascii="Times New Roman" w:hAnsi="Times New Roman"/>
          <w:bCs/>
          <w:sz w:val="24"/>
          <w:szCs w:val="24"/>
        </w:rPr>
      </w:pPr>
    </w:p>
    <w:p w14:paraId="15785B7B" w14:textId="77777777" w:rsidR="00803102" w:rsidRPr="00E721E2" w:rsidRDefault="00803102" w:rsidP="00803102">
      <w:pPr>
        <w:spacing w:after="0" w:line="240" w:lineRule="auto"/>
        <w:jc w:val="both"/>
        <w:rPr>
          <w:rFonts w:ascii="Times New Roman" w:hAnsi="Times New Roman"/>
          <w:color w:val="FF0000"/>
          <w:sz w:val="24"/>
          <w:szCs w:val="24"/>
        </w:rPr>
      </w:pPr>
    </w:p>
    <w:p w14:paraId="3C0FA450" w14:textId="77777777" w:rsidR="00F746D0" w:rsidRDefault="00F746D0" w:rsidP="00803102">
      <w:pPr>
        <w:spacing w:after="0" w:line="240" w:lineRule="auto"/>
        <w:jc w:val="both"/>
        <w:rPr>
          <w:rFonts w:ascii="Times New Roman" w:hAnsi="Times New Roman"/>
          <w:b/>
          <w:bCs/>
          <w:sz w:val="24"/>
          <w:szCs w:val="24"/>
        </w:rPr>
      </w:pPr>
    </w:p>
    <w:p w14:paraId="455A4085" w14:textId="23562D2C" w:rsidR="00803102" w:rsidRPr="00E721E2" w:rsidRDefault="00803102" w:rsidP="00803102">
      <w:pPr>
        <w:spacing w:after="0" w:line="240" w:lineRule="auto"/>
        <w:jc w:val="both"/>
        <w:rPr>
          <w:rFonts w:ascii="Times New Roman" w:hAnsi="Times New Roman"/>
          <w:b/>
          <w:bCs/>
          <w:sz w:val="24"/>
          <w:szCs w:val="24"/>
        </w:rPr>
      </w:pPr>
      <w:r w:rsidRPr="00E721E2">
        <w:rPr>
          <w:rFonts w:ascii="Times New Roman" w:hAnsi="Times New Roman"/>
          <w:b/>
          <w:bCs/>
          <w:sz w:val="24"/>
          <w:szCs w:val="24"/>
        </w:rPr>
        <w:t xml:space="preserve">RASHODI ZA NABAVU NEFINANCIJSKE IMOVINE </w:t>
      </w:r>
    </w:p>
    <w:p w14:paraId="326A090E" w14:textId="2DB557C4" w:rsidR="00803102" w:rsidRDefault="002B4776" w:rsidP="00803102">
      <w:pPr>
        <w:spacing w:after="0" w:line="240" w:lineRule="auto"/>
        <w:jc w:val="both"/>
        <w:rPr>
          <w:rFonts w:ascii="Times New Roman" w:hAnsi="Times New Roman"/>
          <w:sz w:val="24"/>
          <w:szCs w:val="24"/>
        </w:rPr>
      </w:pPr>
      <w:r w:rsidRPr="00E721E2">
        <w:rPr>
          <w:rFonts w:ascii="Times New Roman" w:hAnsi="Times New Roman"/>
          <w:sz w:val="24"/>
          <w:szCs w:val="24"/>
        </w:rPr>
        <w:t>U izvještajnom razdoblju</w:t>
      </w:r>
      <w:r w:rsidR="00C80DAD">
        <w:rPr>
          <w:rFonts w:ascii="Times New Roman" w:hAnsi="Times New Roman"/>
          <w:sz w:val="24"/>
          <w:szCs w:val="24"/>
        </w:rPr>
        <w:t xml:space="preserve"> </w:t>
      </w:r>
      <w:r w:rsidRPr="00E721E2">
        <w:rPr>
          <w:rFonts w:ascii="Times New Roman" w:hAnsi="Times New Roman"/>
          <w:sz w:val="24"/>
          <w:szCs w:val="24"/>
        </w:rPr>
        <w:t>nabav</w:t>
      </w:r>
      <w:r w:rsidR="00C80DAD">
        <w:rPr>
          <w:rFonts w:ascii="Times New Roman" w:hAnsi="Times New Roman"/>
          <w:sz w:val="24"/>
          <w:szCs w:val="24"/>
        </w:rPr>
        <w:t>ljena je jedna licenca u iznosu od 497,50 eura.</w:t>
      </w:r>
    </w:p>
    <w:p w14:paraId="2B695ACB" w14:textId="77777777" w:rsidR="00C80DAD" w:rsidRDefault="00C80DAD" w:rsidP="00803102">
      <w:pPr>
        <w:spacing w:after="0" w:line="240" w:lineRule="auto"/>
        <w:jc w:val="both"/>
        <w:rPr>
          <w:rFonts w:ascii="Times New Roman" w:hAnsi="Times New Roman"/>
          <w:sz w:val="24"/>
          <w:szCs w:val="24"/>
        </w:rPr>
      </w:pPr>
    </w:p>
    <w:p w14:paraId="3004F7BE" w14:textId="77777777" w:rsidR="00F746D0" w:rsidRDefault="00F746D0" w:rsidP="00CD188B">
      <w:pPr>
        <w:spacing w:after="0" w:line="240" w:lineRule="auto"/>
        <w:rPr>
          <w:rFonts w:ascii="Times New Roman" w:hAnsi="Times New Roman" w:cs="Times New Roman"/>
          <w:b/>
          <w:bCs/>
          <w:sz w:val="24"/>
          <w:szCs w:val="24"/>
        </w:rPr>
      </w:pPr>
    </w:p>
    <w:p w14:paraId="28EA36A7" w14:textId="3F1F54CC" w:rsidR="00803102" w:rsidRPr="00E85B68" w:rsidRDefault="00CD188B" w:rsidP="00CD188B">
      <w:pPr>
        <w:spacing w:after="0" w:line="240" w:lineRule="auto"/>
        <w:rPr>
          <w:rFonts w:ascii="Times New Roman" w:hAnsi="Times New Roman" w:cs="Times New Roman"/>
          <w:b/>
          <w:bCs/>
          <w:sz w:val="24"/>
          <w:szCs w:val="24"/>
        </w:rPr>
      </w:pPr>
      <w:r w:rsidRPr="00E85B68">
        <w:rPr>
          <w:rFonts w:ascii="Times New Roman" w:hAnsi="Times New Roman" w:cs="Times New Roman"/>
          <w:b/>
          <w:bCs/>
          <w:sz w:val="24"/>
          <w:szCs w:val="24"/>
        </w:rPr>
        <w:t>3</w:t>
      </w:r>
      <w:r w:rsidR="00E85B68">
        <w:rPr>
          <w:rFonts w:ascii="Times New Roman" w:hAnsi="Times New Roman" w:cs="Times New Roman"/>
          <w:b/>
          <w:bCs/>
          <w:sz w:val="24"/>
          <w:szCs w:val="24"/>
        </w:rPr>
        <w:t>.1.3</w:t>
      </w:r>
      <w:r w:rsidRPr="00E85B68">
        <w:rPr>
          <w:rFonts w:ascii="Times New Roman" w:hAnsi="Times New Roman" w:cs="Times New Roman"/>
          <w:b/>
          <w:bCs/>
          <w:sz w:val="24"/>
          <w:szCs w:val="24"/>
        </w:rPr>
        <w:t xml:space="preserve">. </w:t>
      </w:r>
      <w:r w:rsidR="00803102" w:rsidRPr="00E85B68">
        <w:rPr>
          <w:rFonts w:ascii="Times New Roman" w:hAnsi="Times New Roman" w:cs="Times New Roman"/>
          <w:b/>
          <w:bCs/>
          <w:sz w:val="24"/>
          <w:szCs w:val="24"/>
        </w:rPr>
        <w:t>STANJE NEPODMIRENIH OBVEZA</w:t>
      </w:r>
    </w:p>
    <w:p w14:paraId="3C3F72F8" w14:textId="77777777" w:rsidR="00803102" w:rsidRPr="00E721E2" w:rsidRDefault="00803102" w:rsidP="00803102">
      <w:pPr>
        <w:pStyle w:val="ListParagraph"/>
        <w:spacing w:after="0" w:line="240" w:lineRule="auto"/>
        <w:ind w:left="1080"/>
        <w:rPr>
          <w:rFonts w:ascii="Times New Roman" w:hAnsi="Times New Roman" w:cs="Times New Roman"/>
          <w:b/>
          <w:bCs/>
          <w:sz w:val="24"/>
          <w:szCs w:val="24"/>
          <w:u w:val="single"/>
        </w:rPr>
      </w:pPr>
    </w:p>
    <w:p w14:paraId="692A66D0" w14:textId="4805718B" w:rsidR="00803102" w:rsidRDefault="00803102" w:rsidP="00803102">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Na dan 3</w:t>
      </w:r>
      <w:r w:rsidR="00C80DAD">
        <w:rPr>
          <w:rFonts w:ascii="Times New Roman" w:hAnsi="Times New Roman" w:cs="Times New Roman"/>
          <w:sz w:val="24"/>
          <w:szCs w:val="24"/>
        </w:rPr>
        <w:t>1</w:t>
      </w:r>
      <w:r w:rsidRPr="00E721E2">
        <w:rPr>
          <w:rFonts w:ascii="Times New Roman" w:hAnsi="Times New Roman" w:cs="Times New Roman"/>
          <w:sz w:val="24"/>
          <w:szCs w:val="24"/>
        </w:rPr>
        <w:t>.</w:t>
      </w:r>
      <w:r w:rsidR="00C80DAD">
        <w:rPr>
          <w:rFonts w:ascii="Times New Roman" w:hAnsi="Times New Roman" w:cs="Times New Roman"/>
          <w:sz w:val="24"/>
          <w:szCs w:val="24"/>
        </w:rPr>
        <w:t>12</w:t>
      </w:r>
      <w:r w:rsidRPr="00E721E2">
        <w:rPr>
          <w:rFonts w:ascii="Times New Roman" w:hAnsi="Times New Roman" w:cs="Times New Roman"/>
          <w:sz w:val="24"/>
          <w:szCs w:val="24"/>
        </w:rPr>
        <w:t>.202</w:t>
      </w:r>
      <w:r w:rsidR="002B4776" w:rsidRPr="00E721E2">
        <w:rPr>
          <w:rFonts w:ascii="Times New Roman" w:hAnsi="Times New Roman" w:cs="Times New Roman"/>
          <w:sz w:val="24"/>
          <w:szCs w:val="24"/>
        </w:rPr>
        <w:t>4</w:t>
      </w:r>
      <w:r w:rsidRPr="00E721E2">
        <w:rPr>
          <w:rFonts w:ascii="Times New Roman" w:hAnsi="Times New Roman" w:cs="Times New Roman"/>
          <w:sz w:val="24"/>
          <w:szCs w:val="24"/>
        </w:rPr>
        <w:t xml:space="preserve">. godine stanje obveza PORE Regionalne razvojne agencije iznosi </w:t>
      </w:r>
      <w:r w:rsidR="00EB4D90">
        <w:rPr>
          <w:rFonts w:ascii="Times New Roman" w:hAnsi="Times New Roman" w:cs="Times New Roman"/>
          <w:sz w:val="24"/>
          <w:szCs w:val="24"/>
        </w:rPr>
        <w:t>74.587,19</w:t>
      </w:r>
      <w:r w:rsidR="00FE6C14" w:rsidRPr="00E721E2">
        <w:rPr>
          <w:rFonts w:ascii="Times New Roman" w:hAnsi="Times New Roman" w:cs="Times New Roman"/>
          <w:sz w:val="24"/>
          <w:szCs w:val="24"/>
        </w:rPr>
        <w:t xml:space="preserve"> eura</w:t>
      </w:r>
      <w:r w:rsidRPr="00E721E2">
        <w:rPr>
          <w:rFonts w:ascii="Times New Roman" w:hAnsi="Times New Roman" w:cs="Times New Roman"/>
          <w:sz w:val="24"/>
          <w:szCs w:val="24"/>
        </w:rPr>
        <w:t xml:space="preserve"> što predstavlja stanje nedospjelih obveza na kraju izvještajnog razdoblja i odnosi se na </w:t>
      </w:r>
      <w:r w:rsidR="00FE6C14" w:rsidRPr="00E721E2">
        <w:rPr>
          <w:rFonts w:ascii="Times New Roman" w:hAnsi="Times New Roman" w:cs="Times New Roman"/>
          <w:sz w:val="24"/>
          <w:szCs w:val="24"/>
        </w:rPr>
        <w:t xml:space="preserve">međusobne obveze </w:t>
      </w:r>
      <w:r w:rsidR="00FE6C14" w:rsidRPr="00A330D4">
        <w:rPr>
          <w:rFonts w:ascii="Times New Roman" w:hAnsi="Times New Roman" w:cs="Times New Roman"/>
          <w:sz w:val="24"/>
          <w:szCs w:val="24"/>
        </w:rPr>
        <w:t xml:space="preserve">subjekata općeg proračuna </w:t>
      </w:r>
      <w:r w:rsidRPr="00A330D4">
        <w:rPr>
          <w:rFonts w:ascii="Times New Roman" w:hAnsi="Times New Roman" w:cs="Times New Roman"/>
          <w:sz w:val="24"/>
          <w:szCs w:val="24"/>
        </w:rPr>
        <w:t xml:space="preserve">u iznosu od </w:t>
      </w:r>
      <w:r w:rsidR="00EB4D90" w:rsidRPr="00A330D4">
        <w:rPr>
          <w:rFonts w:ascii="Times New Roman" w:hAnsi="Times New Roman" w:cs="Times New Roman"/>
          <w:sz w:val="24"/>
          <w:szCs w:val="24"/>
        </w:rPr>
        <w:t>66.675,31</w:t>
      </w:r>
      <w:r w:rsidRPr="00A330D4">
        <w:rPr>
          <w:rFonts w:ascii="Times New Roman" w:hAnsi="Times New Roman" w:cs="Times New Roman"/>
          <w:sz w:val="24"/>
          <w:szCs w:val="24"/>
        </w:rPr>
        <w:t xml:space="preserve"> </w:t>
      </w:r>
      <w:r w:rsidR="00FE6C14" w:rsidRPr="00A330D4">
        <w:rPr>
          <w:rFonts w:ascii="Times New Roman" w:hAnsi="Times New Roman" w:cs="Times New Roman"/>
          <w:sz w:val="24"/>
          <w:szCs w:val="24"/>
        </w:rPr>
        <w:t>eura</w:t>
      </w:r>
      <w:r w:rsidR="00DF0E3B" w:rsidRPr="00A330D4">
        <w:rPr>
          <w:rFonts w:ascii="Times New Roman" w:hAnsi="Times New Roman" w:cs="Times New Roman"/>
          <w:sz w:val="24"/>
          <w:szCs w:val="24"/>
        </w:rPr>
        <w:t xml:space="preserve"> </w:t>
      </w:r>
      <w:r w:rsidR="00BD04E7" w:rsidRPr="00A330D4">
        <w:rPr>
          <w:rFonts w:ascii="Times New Roman" w:hAnsi="Times New Roman" w:cs="Times New Roman"/>
          <w:sz w:val="24"/>
          <w:szCs w:val="24"/>
        </w:rPr>
        <w:t>što se odnosi na obvezu povrata sredstava u proračun Koprivničko-križevačke županije</w:t>
      </w:r>
      <w:r w:rsidR="00C665F8" w:rsidRPr="00A330D4">
        <w:rPr>
          <w:rFonts w:ascii="Times New Roman" w:hAnsi="Times New Roman" w:cs="Times New Roman"/>
          <w:sz w:val="24"/>
          <w:szCs w:val="24"/>
        </w:rPr>
        <w:t>,</w:t>
      </w:r>
      <w:r w:rsidR="00BD04E7" w:rsidRPr="00A330D4">
        <w:rPr>
          <w:rFonts w:ascii="Times New Roman" w:hAnsi="Times New Roman" w:cs="Times New Roman"/>
          <w:sz w:val="24"/>
          <w:szCs w:val="24"/>
        </w:rPr>
        <w:t xml:space="preserve"> a </w:t>
      </w:r>
      <w:r w:rsidR="00C665F8" w:rsidRPr="00A330D4">
        <w:rPr>
          <w:rFonts w:ascii="Times New Roman" w:hAnsi="Times New Roman" w:cs="Times New Roman"/>
          <w:sz w:val="24"/>
          <w:szCs w:val="24"/>
        </w:rPr>
        <w:t>vezano</w:t>
      </w:r>
      <w:r w:rsidR="00BD04E7" w:rsidRPr="00A330D4">
        <w:rPr>
          <w:rFonts w:ascii="Times New Roman" w:hAnsi="Times New Roman" w:cs="Times New Roman"/>
          <w:sz w:val="24"/>
          <w:szCs w:val="24"/>
        </w:rPr>
        <w:t xml:space="preserve"> na sredstva predfinanciranja EU projekata </w:t>
      </w:r>
      <w:r w:rsidR="00DF0E3B" w:rsidRPr="00A330D4">
        <w:rPr>
          <w:rFonts w:ascii="Times New Roman" w:hAnsi="Times New Roman" w:cs="Times New Roman"/>
          <w:sz w:val="24"/>
          <w:szCs w:val="24"/>
        </w:rPr>
        <w:t>i</w:t>
      </w:r>
      <w:r w:rsidR="00FE6C14" w:rsidRPr="00A330D4">
        <w:rPr>
          <w:rFonts w:ascii="Times New Roman" w:hAnsi="Times New Roman" w:cs="Times New Roman"/>
          <w:sz w:val="24"/>
          <w:szCs w:val="24"/>
        </w:rPr>
        <w:t xml:space="preserve"> obveze za rashode poslovanja</w:t>
      </w:r>
      <w:r w:rsidR="00C665F8" w:rsidRPr="00A330D4">
        <w:rPr>
          <w:rFonts w:ascii="Times New Roman" w:hAnsi="Times New Roman" w:cs="Times New Roman"/>
          <w:sz w:val="24"/>
          <w:szCs w:val="24"/>
        </w:rPr>
        <w:t xml:space="preserve"> u iznosu od</w:t>
      </w:r>
      <w:r w:rsidR="00FE6C14" w:rsidRPr="00A330D4">
        <w:rPr>
          <w:rFonts w:ascii="Times New Roman" w:hAnsi="Times New Roman" w:cs="Times New Roman"/>
          <w:sz w:val="24"/>
          <w:szCs w:val="24"/>
        </w:rPr>
        <w:t xml:space="preserve"> </w:t>
      </w:r>
      <w:r w:rsidR="00EB4D90" w:rsidRPr="00A330D4">
        <w:rPr>
          <w:rFonts w:ascii="Times New Roman" w:hAnsi="Times New Roman" w:cs="Times New Roman"/>
          <w:sz w:val="24"/>
          <w:szCs w:val="24"/>
        </w:rPr>
        <w:t>7.911,88</w:t>
      </w:r>
      <w:r w:rsidR="00FE6C14" w:rsidRPr="00A330D4">
        <w:rPr>
          <w:rFonts w:ascii="Times New Roman" w:hAnsi="Times New Roman" w:cs="Times New Roman"/>
          <w:sz w:val="24"/>
          <w:szCs w:val="24"/>
        </w:rPr>
        <w:t xml:space="preserve"> eura</w:t>
      </w:r>
      <w:r w:rsidRPr="00A330D4">
        <w:rPr>
          <w:rFonts w:ascii="Times New Roman" w:hAnsi="Times New Roman" w:cs="Times New Roman"/>
          <w:sz w:val="24"/>
          <w:szCs w:val="24"/>
        </w:rPr>
        <w:t>.</w:t>
      </w:r>
    </w:p>
    <w:p w14:paraId="7303AA31" w14:textId="77777777" w:rsidR="00290643" w:rsidRDefault="00290643" w:rsidP="00803102">
      <w:pPr>
        <w:spacing w:after="0" w:line="240" w:lineRule="auto"/>
        <w:jc w:val="both"/>
        <w:rPr>
          <w:rFonts w:ascii="Times New Roman" w:hAnsi="Times New Roman" w:cs="Times New Roman"/>
          <w:sz w:val="24"/>
          <w:szCs w:val="24"/>
        </w:rPr>
      </w:pPr>
    </w:p>
    <w:p w14:paraId="1742853D" w14:textId="77777777" w:rsidR="00112D20" w:rsidRDefault="00112D20" w:rsidP="00803102">
      <w:pPr>
        <w:spacing w:after="0" w:line="240" w:lineRule="auto"/>
        <w:jc w:val="both"/>
        <w:rPr>
          <w:rFonts w:ascii="Times New Roman" w:hAnsi="Times New Roman" w:cs="Times New Roman"/>
          <w:sz w:val="24"/>
          <w:szCs w:val="24"/>
        </w:rPr>
      </w:pPr>
    </w:p>
    <w:p w14:paraId="610A5B96" w14:textId="211BD0E1" w:rsidR="00290643" w:rsidRDefault="00290643" w:rsidP="00290643">
      <w:pPr>
        <w:suppressAutoHyphens/>
        <w:spacing w:after="0" w:line="240" w:lineRule="auto"/>
        <w:jc w:val="both"/>
        <w:rPr>
          <w:rFonts w:ascii="Times New Roman" w:hAnsi="Times New Roman" w:cs="Times New Roman"/>
          <w:b/>
          <w:bCs/>
          <w:sz w:val="24"/>
          <w:szCs w:val="24"/>
        </w:rPr>
      </w:pPr>
      <w:r w:rsidRPr="00E85B68">
        <w:rPr>
          <w:rFonts w:ascii="Times New Roman" w:hAnsi="Times New Roman" w:cs="Times New Roman"/>
          <w:b/>
          <w:bCs/>
          <w:sz w:val="24"/>
          <w:szCs w:val="24"/>
        </w:rPr>
        <w:t>3.1.</w:t>
      </w:r>
      <w:r>
        <w:rPr>
          <w:rFonts w:ascii="Times New Roman" w:hAnsi="Times New Roman" w:cs="Times New Roman"/>
          <w:b/>
          <w:bCs/>
          <w:sz w:val="24"/>
          <w:szCs w:val="24"/>
        </w:rPr>
        <w:t>4</w:t>
      </w:r>
      <w:r w:rsidRPr="00E85B68">
        <w:rPr>
          <w:rFonts w:ascii="Times New Roman" w:hAnsi="Times New Roman" w:cs="Times New Roman"/>
          <w:b/>
          <w:bCs/>
          <w:sz w:val="24"/>
          <w:szCs w:val="24"/>
        </w:rPr>
        <w:t>.</w:t>
      </w:r>
      <w:r>
        <w:rPr>
          <w:rFonts w:ascii="Times New Roman" w:hAnsi="Times New Roman" w:cs="Times New Roman"/>
          <w:b/>
          <w:bCs/>
          <w:sz w:val="24"/>
          <w:szCs w:val="24"/>
        </w:rPr>
        <w:t xml:space="preserve">  STANJE POTENCIJALNIH OBVEZA PO OSNOVI SUDSKIH SPOROVA</w:t>
      </w:r>
    </w:p>
    <w:p w14:paraId="1AEBC899" w14:textId="77777777" w:rsidR="00290643" w:rsidRDefault="00290643" w:rsidP="00290643">
      <w:pPr>
        <w:suppressAutoHyphens/>
        <w:spacing w:after="0" w:line="240" w:lineRule="auto"/>
        <w:jc w:val="both"/>
        <w:rPr>
          <w:rFonts w:ascii="Times New Roman" w:hAnsi="Times New Roman" w:cs="Times New Roman"/>
          <w:b/>
          <w:bCs/>
          <w:sz w:val="24"/>
          <w:szCs w:val="24"/>
        </w:rPr>
      </w:pPr>
    </w:p>
    <w:p w14:paraId="2F2D106F" w14:textId="08338B0E" w:rsidR="00290643" w:rsidRPr="00DF5DAA" w:rsidRDefault="00DF5DAA" w:rsidP="00290643">
      <w:pPr>
        <w:suppressAutoHyphens/>
        <w:spacing w:after="0" w:line="240" w:lineRule="auto"/>
        <w:jc w:val="both"/>
        <w:rPr>
          <w:rFonts w:ascii="Times New Roman" w:hAnsi="Times New Roman" w:cs="Times New Roman"/>
          <w:sz w:val="24"/>
          <w:szCs w:val="24"/>
        </w:rPr>
      </w:pPr>
      <w:r w:rsidRPr="00DF5DAA">
        <w:rPr>
          <w:rFonts w:ascii="Times New Roman" w:hAnsi="Times New Roman" w:cs="Times New Roman"/>
          <w:sz w:val="24"/>
          <w:szCs w:val="24"/>
        </w:rPr>
        <w:t>Tablica 6. Stanje</w:t>
      </w:r>
      <w:r>
        <w:rPr>
          <w:rFonts w:ascii="Times New Roman" w:hAnsi="Times New Roman" w:cs="Times New Roman"/>
          <w:sz w:val="24"/>
          <w:szCs w:val="24"/>
        </w:rPr>
        <w:t xml:space="preserve"> potencijalnih obveza po osnovi sudskih sporova</w:t>
      </w:r>
    </w:p>
    <w:tbl>
      <w:tblPr>
        <w:tblStyle w:val="TableGrid"/>
        <w:tblW w:w="0" w:type="auto"/>
        <w:tblLook w:val="04A0" w:firstRow="1" w:lastRow="0" w:firstColumn="1" w:lastColumn="0" w:noHBand="0" w:noVBand="1"/>
      </w:tblPr>
      <w:tblGrid>
        <w:gridCol w:w="1459"/>
        <w:gridCol w:w="1483"/>
        <w:gridCol w:w="1463"/>
        <w:gridCol w:w="1446"/>
        <w:gridCol w:w="1470"/>
        <w:gridCol w:w="1695"/>
      </w:tblGrid>
      <w:tr w:rsidR="00D24868" w14:paraId="561B9B64" w14:textId="77777777" w:rsidTr="00290643">
        <w:tc>
          <w:tcPr>
            <w:tcW w:w="1502" w:type="dxa"/>
          </w:tcPr>
          <w:p w14:paraId="118A815C" w14:textId="27F920D1" w:rsidR="00290643" w:rsidRPr="00680523" w:rsidRDefault="00290643" w:rsidP="00290643">
            <w:pPr>
              <w:suppressAutoHyphens/>
              <w:jc w:val="both"/>
              <w:rPr>
                <w:rFonts w:ascii="Times New Roman" w:eastAsia="Calibri" w:hAnsi="Times New Roman" w:cs="Times New Roman"/>
                <w:b/>
                <w:bCs/>
                <w:lang w:eastAsia="ar-SA"/>
              </w:rPr>
            </w:pPr>
            <w:proofErr w:type="spellStart"/>
            <w:r w:rsidRPr="00680523">
              <w:rPr>
                <w:rFonts w:ascii="Times New Roman" w:eastAsia="Calibri" w:hAnsi="Times New Roman" w:cs="Times New Roman"/>
                <w:b/>
                <w:bCs/>
                <w:lang w:eastAsia="ar-SA"/>
              </w:rPr>
              <w:t>Stranka</w:t>
            </w:r>
            <w:proofErr w:type="spellEnd"/>
          </w:p>
          <w:p w14:paraId="622BB56F" w14:textId="2BFBFE07" w:rsidR="00290643" w:rsidRPr="00680523" w:rsidRDefault="00290643" w:rsidP="00290643">
            <w:pPr>
              <w:suppressAutoHyphens/>
              <w:jc w:val="both"/>
              <w:rPr>
                <w:rFonts w:ascii="Times New Roman" w:eastAsia="Calibri" w:hAnsi="Times New Roman" w:cs="Times New Roman"/>
                <w:b/>
                <w:bCs/>
                <w:lang w:eastAsia="ar-SA"/>
              </w:rPr>
            </w:pPr>
          </w:p>
        </w:tc>
        <w:tc>
          <w:tcPr>
            <w:tcW w:w="1502" w:type="dxa"/>
          </w:tcPr>
          <w:p w14:paraId="41DC3E5D" w14:textId="10B244BD" w:rsidR="00290643" w:rsidRPr="00680523" w:rsidRDefault="00290643" w:rsidP="00290643">
            <w:pPr>
              <w:suppressAutoHyphens/>
              <w:jc w:val="both"/>
              <w:rPr>
                <w:rFonts w:ascii="Times New Roman" w:eastAsia="Calibri" w:hAnsi="Times New Roman" w:cs="Times New Roman"/>
                <w:b/>
                <w:bCs/>
                <w:lang w:eastAsia="ar-SA"/>
              </w:rPr>
            </w:pPr>
            <w:proofErr w:type="spellStart"/>
            <w:r w:rsidRPr="00680523">
              <w:rPr>
                <w:rFonts w:ascii="Times New Roman" w:eastAsia="Calibri" w:hAnsi="Times New Roman" w:cs="Times New Roman"/>
                <w:b/>
                <w:bCs/>
                <w:lang w:eastAsia="ar-SA"/>
              </w:rPr>
              <w:t>Iznos</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financijskog</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učinka</w:t>
            </w:r>
            <w:proofErr w:type="spellEnd"/>
            <w:r w:rsidR="00191B90" w:rsidRPr="00680523">
              <w:rPr>
                <w:rFonts w:ascii="Times New Roman" w:eastAsia="Calibri" w:hAnsi="Times New Roman" w:cs="Times New Roman"/>
                <w:b/>
                <w:bCs/>
                <w:lang w:eastAsia="ar-SA"/>
              </w:rPr>
              <w:t xml:space="preserve"> (</w:t>
            </w:r>
            <w:proofErr w:type="spellStart"/>
            <w:r w:rsidR="00191B90" w:rsidRPr="00680523">
              <w:rPr>
                <w:rFonts w:ascii="Times New Roman" w:eastAsia="Calibri" w:hAnsi="Times New Roman" w:cs="Times New Roman"/>
                <w:b/>
                <w:bCs/>
                <w:lang w:eastAsia="ar-SA"/>
              </w:rPr>
              <w:t>eur</w:t>
            </w:r>
            <w:proofErr w:type="spellEnd"/>
            <w:r w:rsidR="00191B90" w:rsidRPr="00680523">
              <w:rPr>
                <w:rFonts w:ascii="Times New Roman" w:eastAsia="Calibri" w:hAnsi="Times New Roman" w:cs="Times New Roman"/>
                <w:b/>
                <w:bCs/>
                <w:lang w:eastAsia="ar-SA"/>
              </w:rPr>
              <w:t>)</w:t>
            </w:r>
          </w:p>
        </w:tc>
        <w:tc>
          <w:tcPr>
            <w:tcW w:w="1503" w:type="dxa"/>
          </w:tcPr>
          <w:p w14:paraId="395143DC" w14:textId="13DCBD85" w:rsidR="00290643" w:rsidRPr="00680523" w:rsidRDefault="00290643" w:rsidP="00290643">
            <w:pPr>
              <w:suppressAutoHyphens/>
              <w:jc w:val="both"/>
              <w:rPr>
                <w:rFonts w:ascii="Times New Roman" w:eastAsia="Calibri" w:hAnsi="Times New Roman" w:cs="Times New Roman"/>
                <w:b/>
                <w:bCs/>
                <w:lang w:eastAsia="ar-SA"/>
              </w:rPr>
            </w:pPr>
            <w:proofErr w:type="spellStart"/>
            <w:r w:rsidRPr="00680523">
              <w:rPr>
                <w:rFonts w:ascii="Times New Roman" w:eastAsia="Calibri" w:hAnsi="Times New Roman" w:cs="Times New Roman"/>
                <w:b/>
                <w:bCs/>
                <w:lang w:eastAsia="ar-SA"/>
              </w:rPr>
              <w:t>Broj</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spisa</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i</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nadležnost</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suda</w:t>
            </w:r>
            <w:proofErr w:type="spellEnd"/>
          </w:p>
        </w:tc>
        <w:tc>
          <w:tcPr>
            <w:tcW w:w="1503" w:type="dxa"/>
          </w:tcPr>
          <w:p w14:paraId="7DA53319" w14:textId="79E90B2F" w:rsidR="00290643" w:rsidRPr="00680523" w:rsidRDefault="00290643" w:rsidP="00290643">
            <w:pPr>
              <w:suppressAutoHyphens/>
              <w:jc w:val="both"/>
              <w:rPr>
                <w:rFonts w:ascii="Times New Roman" w:eastAsia="Calibri" w:hAnsi="Times New Roman" w:cs="Times New Roman"/>
                <w:b/>
                <w:bCs/>
                <w:lang w:eastAsia="ar-SA"/>
              </w:rPr>
            </w:pPr>
            <w:r w:rsidRPr="00680523">
              <w:rPr>
                <w:rFonts w:ascii="Times New Roman" w:eastAsia="Calibri" w:hAnsi="Times New Roman" w:cs="Times New Roman"/>
                <w:b/>
                <w:bCs/>
                <w:lang w:eastAsia="ar-SA"/>
              </w:rPr>
              <w:t>Status</w:t>
            </w:r>
            <w:r w:rsidR="002717DA" w:rsidRPr="00680523">
              <w:rPr>
                <w:rFonts w:ascii="Times New Roman" w:eastAsia="Calibri" w:hAnsi="Times New Roman" w:cs="Times New Roman"/>
                <w:b/>
                <w:bCs/>
                <w:lang w:eastAsia="ar-SA"/>
              </w:rPr>
              <w:t xml:space="preserve"> </w:t>
            </w:r>
            <w:proofErr w:type="spellStart"/>
            <w:r w:rsidR="002717DA" w:rsidRPr="00680523">
              <w:rPr>
                <w:rFonts w:ascii="Times New Roman" w:eastAsia="Calibri" w:hAnsi="Times New Roman" w:cs="Times New Roman"/>
                <w:b/>
                <w:bCs/>
                <w:lang w:eastAsia="ar-SA"/>
              </w:rPr>
              <w:t>Razvojne</w:t>
            </w:r>
            <w:proofErr w:type="spellEnd"/>
            <w:r w:rsidR="002717DA" w:rsidRPr="00680523">
              <w:rPr>
                <w:rFonts w:ascii="Times New Roman" w:eastAsia="Calibri" w:hAnsi="Times New Roman" w:cs="Times New Roman"/>
                <w:b/>
                <w:bCs/>
                <w:lang w:eastAsia="ar-SA"/>
              </w:rPr>
              <w:t xml:space="preserve"> </w:t>
            </w:r>
            <w:proofErr w:type="spellStart"/>
            <w:r w:rsidR="002717DA" w:rsidRPr="00680523">
              <w:rPr>
                <w:rFonts w:ascii="Times New Roman" w:eastAsia="Calibri" w:hAnsi="Times New Roman" w:cs="Times New Roman"/>
                <w:b/>
                <w:bCs/>
                <w:lang w:eastAsia="ar-SA"/>
              </w:rPr>
              <w:t>agencije</w:t>
            </w:r>
            <w:proofErr w:type="spellEnd"/>
            <w:r w:rsidR="002717DA" w:rsidRPr="00680523">
              <w:rPr>
                <w:rFonts w:ascii="Times New Roman" w:eastAsia="Calibri" w:hAnsi="Times New Roman" w:cs="Times New Roman"/>
                <w:b/>
                <w:bCs/>
                <w:lang w:eastAsia="ar-SA"/>
              </w:rPr>
              <w:t xml:space="preserve"> KKŽ</w:t>
            </w:r>
          </w:p>
        </w:tc>
        <w:tc>
          <w:tcPr>
            <w:tcW w:w="1503" w:type="dxa"/>
          </w:tcPr>
          <w:p w14:paraId="45A640AA" w14:textId="09ADA04C" w:rsidR="00290643" w:rsidRPr="00680523" w:rsidRDefault="00290643" w:rsidP="00290643">
            <w:pPr>
              <w:suppressAutoHyphens/>
              <w:jc w:val="both"/>
              <w:rPr>
                <w:rFonts w:ascii="Times New Roman" w:eastAsia="Calibri" w:hAnsi="Times New Roman" w:cs="Times New Roman"/>
                <w:b/>
                <w:bCs/>
                <w:lang w:eastAsia="ar-SA"/>
              </w:rPr>
            </w:pPr>
            <w:proofErr w:type="spellStart"/>
            <w:r w:rsidRPr="00680523">
              <w:rPr>
                <w:rFonts w:ascii="Times New Roman" w:eastAsia="Calibri" w:hAnsi="Times New Roman" w:cs="Times New Roman"/>
                <w:b/>
                <w:bCs/>
                <w:lang w:eastAsia="ar-SA"/>
              </w:rPr>
              <w:t>Opis</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spora</w:t>
            </w:r>
            <w:proofErr w:type="spellEnd"/>
          </w:p>
        </w:tc>
        <w:tc>
          <w:tcPr>
            <w:tcW w:w="1503" w:type="dxa"/>
          </w:tcPr>
          <w:p w14:paraId="160B99E5" w14:textId="06AF771E" w:rsidR="00290643" w:rsidRPr="00680523" w:rsidRDefault="00290643" w:rsidP="00290643">
            <w:pPr>
              <w:suppressAutoHyphens/>
              <w:jc w:val="both"/>
              <w:rPr>
                <w:rFonts w:ascii="Times New Roman" w:eastAsia="Calibri" w:hAnsi="Times New Roman" w:cs="Times New Roman"/>
                <w:b/>
                <w:bCs/>
                <w:lang w:eastAsia="ar-SA"/>
              </w:rPr>
            </w:pPr>
            <w:proofErr w:type="spellStart"/>
            <w:r w:rsidRPr="00680523">
              <w:rPr>
                <w:rFonts w:ascii="Times New Roman" w:eastAsia="Calibri" w:hAnsi="Times New Roman" w:cs="Times New Roman"/>
                <w:b/>
                <w:bCs/>
                <w:lang w:eastAsia="ar-SA"/>
              </w:rPr>
              <w:t>Procijenjeno</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vrijeme</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odljeva</w:t>
            </w:r>
            <w:proofErr w:type="spellEnd"/>
            <w:r w:rsidRPr="00680523">
              <w:rPr>
                <w:rFonts w:ascii="Times New Roman" w:eastAsia="Calibri" w:hAnsi="Times New Roman" w:cs="Times New Roman"/>
                <w:b/>
                <w:bCs/>
                <w:lang w:eastAsia="ar-SA"/>
              </w:rPr>
              <w:t>/</w:t>
            </w:r>
            <w:proofErr w:type="spellStart"/>
            <w:r w:rsidRPr="00680523">
              <w:rPr>
                <w:rFonts w:ascii="Times New Roman" w:eastAsia="Calibri" w:hAnsi="Times New Roman" w:cs="Times New Roman"/>
                <w:b/>
                <w:bCs/>
                <w:lang w:eastAsia="ar-SA"/>
              </w:rPr>
              <w:t>priljeva</w:t>
            </w:r>
            <w:proofErr w:type="spellEnd"/>
            <w:r w:rsidRPr="00680523">
              <w:rPr>
                <w:rFonts w:ascii="Times New Roman" w:eastAsia="Calibri" w:hAnsi="Times New Roman" w:cs="Times New Roman"/>
                <w:b/>
                <w:bCs/>
                <w:lang w:eastAsia="ar-SA"/>
              </w:rPr>
              <w:t xml:space="preserve"> </w:t>
            </w:r>
            <w:proofErr w:type="spellStart"/>
            <w:r w:rsidRPr="00680523">
              <w:rPr>
                <w:rFonts w:ascii="Times New Roman" w:eastAsia="Calibri" w:hAnsi="Times New Roman" w:cs="Times New Roman"/>
                <w:b/>
                <w:bCs/>
                <w:lang w:eastAsia="ar-SA"/>
              </w:rPr>
              <w:t>sredstava</w:t>
            </w:r>
            <w:proofErr w:type="spellEnd"/>
          </w:p>
        </w:tc>
      </w:tr>
      <w:tr w:rsidR="00D24868" w14:paraId="26A6A820" w14:textId="77777777" w:rsidTr="00290643">
        <w:tc>
          <w:tcPr>
            <w:tcW w:w="1502" w:type="dxa"/>
          </w:tcPr>
          <w:p w14:paraId="4EDF8BAE" w14:textId="316DF522" w:rsidR="00112D20" w:rsidRPr="00680523" w:rsidRDefault="00112D20" w:rsidP="00D24868">
            <w:pPr>
              <w:suppressAutoHyphens/>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t>Drž</w:t>
            </w:r>
            <w:proofErr w:type="spellEnd"/>
            <w:r w:rsidR="00D24868" w:rsidRPr="00680523">
              <w:rPr>
                <w:rFonts w:ascii="Times New Roman" w:eastAsia="Calibri" w:hAnsi="Times New Roman" w:cs="Times New Roman"/>
                <w:lang w:eastAsia="ar-SA"/>
              </w:rPr>
              <w:t>. i</w:t>
            </w:r>
            <w:r w:rsidRPr="00680523">
              <w:rPr>
                <w:rFonts w:ascii="Times New Roman" w:eastAsia="Calibri" w:hAnsi="Times New Roman" w:cs="Times New Roman"/>
                <w:lang w:eastAsia="ar-SA"/>
              </w:rPr>
              <w:t>nsp</w:t>
            </w:r>
            <w:r w:rsidR="00D24868" w:rsidRPr="00680523">
              <w:rPr>
                <w:rFonts w:ascii="Times New Roman" w:eastAsia="Calibri" w:hAnsi="Times New Roman" w:cs="Times New Roman"/>
                <w:lang w:eastAsia="ar-SA"/>
              </w:rPr>
              <w:t xml:space="preserve">. </w:t>
            </w:r>
            <w:proofErr w:type="spellStart"/>
            <w:r w:rsidR="00D24868" w:rsidRPr="00680523">
              <w:rPr>
                <w:rFonts w:ascii="Times New Roman" w:eastAsia="Calibri" w:hAnsi="Times New Roman" w:cs="Times New Roman"/>
                <w:lang w:eastAsia="ar-SA"/>
              </w:rPr>
              <w:t>Podr</w:t>
            </w:r>
            <w:proofErr w:type="spellEnd"/>
            <w:r w:rsidR="00D24868" w:rsidRPr="00680523">
              <w:rPr>
                <w:rFonts w:ascii="Times New Roman" w:eastAsia="Calibri" w:hAnsi="Times New Roman" w:cs="Times New Roman"/>
                <w:lang w:eastAsia="ar-SA"/>
              </w:rPr>
              <w:t xml:space="preserve">. </w:t>
            </w:r>
            <w:proofErr w:type="spellStart"/>
            <w:r w:rsidR="00D24868" w:rsidRPr="00680523">
              <w:rPr>
                <w:rFonts w:ascii="Times New Roman" w:eastAsia="Calibri" w:hAnsi="Times New Roman" w:cs="Times New Roman"/>
                <w:lang w:eastAsia="ar-SA"/>
              </w:rPr>
              <w:t>ured</w:t>
            </w:r>
            <w:proofErr w:type="spellEnd"/>
            <w:r w:rsidR="00D24868" w:rsidRPr="00680523">
              <w:rPr>
                <w:rFonts w:ascii="Times New Roman" w:eastAsia="Calibri" w:hAnsi="Times New Roman" w:cs="Times New Roman"/>
                <w:lang w:eastAsia="ar-SA"/>
              </w:rPr>
              <w:t xml:space="preserve"> </w:t>
            </w:r>
            <w:proofErr w:type="spellStart"/>
            <w:r w:rsidR="00D24868" w:rsidRPr="00680523">
              <w:rPr>
                <w:rFonts w:ascii="Times New Roman" w:eastAsia="Calibri" w:hAnsi="Times New Roman" w:cs="Times New Roman"/>
                <w:lang w:eastAsia="ar-SA"/>
              </w:rPr>
              <w:t>Vž</w:t>
            </w:r>
            <w:proofErr w:type="spellEnd"/>
            <w:r w:rsidR="00D24868" w:rsidRPr="00680523">
              <w:rPr>
                <w:rFonts w:ascii="Times New Roman" w:eastAsia="Calibri" w:hAnsi="Times New Roman" w:cs="Times New Roman"/>
                <w:lang w:eastAsia="ar-SA"/>
              </w:rPr>
              <w:t>, Isp. KC</w:t>
            </w:r>
          </w:p>
        </w:tc>
        <w:tc>
          <w:tcPr>
            <w:tcW w:w="1502" w:type="dxa"/>
          </w:tcPr>
          <w:p w14:paraId="70FE6288" w14:textId="7B411373" w:rsidR="00112D20" w:rsidRPr="00680523" w:rsidRDefault="00112D20" w:rsidP="00112D20">
            <w:pPr>
              <w:suppressAutoHyphens/>
              <w:jc w:val="both"/>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t>Nije</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moguće</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utvrditi</w:t>
            </w:r>
            <w:proofErr w:type="spellEnd"/>
          </w:p>
        </w:tc>
        <w:tc>
          <w:tcPr>
            <w:tcW w:w="1503" w:type="dxa"/>
          </w:tcPr>
          <w:p w14:paraId="42F3D7F3" w14:textId="2DF89C71" w:rsidR="00112D20" w:rsidRPr="00680523" w:rsidRDefault="00112D20" w:rsidP="00D24868">
            <w:pPr>
              <w:suppressAutoHyphens/>
              <w:rPr>
                <w:rFonts w:ascii="Times New Roman" w:eastAsia="Calibri" w:hAnsi="Times New Roman" w:cs="Times New Roman"/>
                <w:lang w:eastAsia="ar-SA"/>
              </w:rPr>
            </w:pPr>
            <w:r w:rsidRPr="00680523">
              <w:rPr>
                <w:rFonts w:ascii="Times New Roman" w:eastAsia="Calibri" w:hAnsi="Times New Roman" w:cs="Times New Roman"/>
                <w:lang w:eastAsia="ar-SA"/>
              </w:rPr>
              <w:t>P</w:t>
            </w:r>
            <w:r w:rsidR="00D24868" w:rsidRPr="00680523">
              <w:rPr>
                <w:rFonts w:ascii="Times New Roman" w:eastAsia="Calibri" w:hAnsi="Times New Roman" w:cs="Times New Roman"/>
                <w:lang w:eastAsia="ar-SA"/>
              </w:rPr>
              <w:t>p-1903/2024</w:t>
            </w:r>
          </w:p>
          <w:p w14:paraId="6A16F0D1" w14:textId="20436C9C" w:rsidR="00112D20" w:rsidRPr="00680523" w:rsidRDefault="00D24868" w:rsidP="00D24868">
            <w:pPr>
              <w:suppressAutoHyphens/>
              <w:rPr>
                <w:rFonts w:ascii="Times New Roman" w:eastAsia="Calibri" w:hAnsi="Times New Roman" w:cs="Times New Roman"/>
                <w:lang w:eastAsia="ar-SA"/>
              </w:rPr>
            </w:pPr>
            <w:r w:rsidRPr="00680523">
              <w:rPr>
                <w:rFonts w:ascii="Times New Roman" w:eastAsia="Calibri" w:hAnsi="Times New Roman" w:cs="Times New Roman"/>
                <w:lang w:eastAsia="ar-SA"/>
              </w:rPr>
              <w:t>OS KC</w:t>
            </w:r>
          </w:p>
        </w:tc>
        <w:tc>
          <w:tcPr>
            <w:tcW w:w="1503" w:type="dxa"/>
          </w:tcPr>
          <w:p w14:paraId="0D21740C" w14:textId="4A7AFEB4" w:rsidR="00112D20" w:rsidRPr="00680523" w:rsidRDefault="00112D20" w:rsidP="00290643">
            <w:pPr>
              <w:suppressAutoHyphens/>
              <w:jc w:val="both"/>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t>tuženik</w:t>
            </w:r>
            <w:proofErr w:type="spellEnd"/>
          </w:p>
        </w:tc>
        <w:tc>
          <w:tcPr>
            <w:tcW w:w="1503" w:type="dxa"/>
          </w:tcPr>
          <w:p w14:paraId="58918724" w14:textId="77777777" w:rsidR="00112D20" w:rsidRDefault="00112D20" w:rsidP="00112D20">
            <w:pPr>
              <w:suppressAutoHyphens/>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t>Utvrđivanje</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prek</w:t>
            </w:r>
            <w:proofErr w:type="spellEnd"/>
            <w:r w:rsidR="00D24868" w:rsidRPr="00680523">
              <w:rPr>
                <w:rFonts w:ascii="Times New Roman" w:eastAsia="Calibri" w:hAnsi="Times New Roman" w:cs="Times New Roman"/>
                <w:lang w:eastAsia="ar-SA"/>
              </w:rPr>
              <w:t>.</w:t>
            </w:r>
            <w:r w:rsidRPr="00680523">
              <w:rPr>
                <w:rFonts w:ascii="Times New Roman" w:eastAsia="Calibri" w:hAnsi="Times New Roman" w:cs="Times New Roman"/>
                <w:lang w:eastAsia="ar-SA"/>
              </w:rPr>
              <w:t xml:space="preserve"> </w:t>
            </w:r>
            <w:proofErr w:type="spellStart"/>
            <w:r w:rsidR="00680523">
              <w:rPr>
                <w:rFonts w:ascii="Times New Roman" w:eastAsia="Calibri" w:hAnsi="Times New Roman" w:cs="Times New Roman"/>
                <w:lang w:eastAsia="ar-SA"/>
              </w:rPr>
              <w:t>o</w:t>
            </w:r>
            <w:r w:rsidRPr="00680523">
              <w:rPr>
                <w:rFonts w:ascii="Times New Roman" w:eastAsia="Calibri" w:hAnsi="Times New Roman" w:cs="Times New Roman"/>
                <w:lang w:eastAsia="ar-SA"/>
              </w:rPr>
              <w:t>dg</w:t>
            </w:r>
            <w:proofErr w:type="spellEnd"/>
            <w:r w:rsidR="00680523">
              <w:rPr>
                <w:rFonts w:ascii="Times New Roman" w:eastAsia="Calibri" w:hAnsi="Times New Roman" w:cs="Times New Roman"/>
                <w:lang w:eastAsia="ar-SA"/>
              </w:rPr>
              <w:t>.</w:t>
            </w:r>
            <w:r w:rsidRPr="00680523">
              <w:rPr>
                <w:rFonts w:ascii="Times New Roman" w:eastAsia="Calibri" w:hAnsi="Times New Roman" w:cs="Times New Roman"/>
                <w:lang w:eastAsia="ar-SA"/>
              </w:rPr>
              <w:t xml:space="preserve"> </w:t>
            </w:r>
            <w:proofErr w:type="spellStart"/>
            <w:r w:rsidR="00F16427">
              <w:rPr>
                <w:rFonts w:ascii="Times New Roman" w:eastAsia="Calibri" w:hAnsi="Times New Roman" w:cs="Times New Roman"/>
                <w:lang w:eastAsia="ar-SA"/>
              </w:rPr>
              <w:t>i</w:t>
            </w:r>
            <w:r w:rsidR="00D24868" w:rsidRPr="00680523">
              <w:rPr>
                <w:rFonts w:ascii="Times New Roman" w:eastAsia="Calibri" w:hAnsi="Times New Roman" w:cs="Times New Roman"/>
                <w:lang w:eastAsia="ar-SA"/>
              </w:rPr>
              <w:t>z</w:t>
            </w:r>
            <w:proofErr w:type="spellEnd"/>
            <w:r w:rsidR="00680523">
              <w:rPr>
                <w:rFonts w:ascii="Times New Roman" w:eastAsia="Calibri" w:hAnsi="Times New Roman" w:cs="Times New Roman"/>
                <w:lang w:eastAsia="ar-SA"/>
              </w:rPr>
              <w:t xml:space="preserve"> </w:t>
            </w:r>
            <w:proofErr w:type="spellStart"/>
            <w:r w:rsidR="00680523">
              <w:rPr>
                <w:rFonts w:ascii="Times New Roman" w:eastAsia="Calibri" w:hAnsi="Times New Roman" w:cs="Times New Roman"/>
                <w:lang w:eastAsia="ar-SA"/>
              </w:rPr>
              <w:t>područja</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radni</w:t>
            </w:r>
            <w:r w:rsidR="00D24868" w:rsidRPr="00680523">
              <w:rPr>
                <w:rFonts w:ascii="Times New Roman" w:eastAsia="Calibri" w:hAnsi="Times New Roman" w:cs="Times New Roman"/>
                <w:lang w:eastAsia="ar-SA"/>
              </w:rPr>
              <w:t>h</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odnos</w:t>
            </w:r>
            <w:r w:rsidR="00D24868" w:rsidRPr="00680523">
              <w:rPr>
                <w:rFonts w:ascii="Times New Roman" w:eastAsia="Calibri" w:hAnsi="Times New Roman" w:cs="Times New Roman"/>
                <w:lang w:eastAsia="ar-SA"/>
              </w:rPr>
              <w:t>a</w:t>
            </w:r>
            <w:proofErr w:type="spellEnd"/>
          </w:p>
          <w:p w14:paraId="576D95F9" w14:textId="3F2AD664" w:rsidR="00F746D0" w:rsidRPr="00680523" w:rsidRDefault="00F746D0" w:rsidP="00112D20">
            <w:pPr>
              <w:suppressAutoHyphens/>
              <w:rPr>
                <w:rFonts w:ascii="Times New Roman" w:eastAsia="Calibri" w:hAnsi="Times New Roman" w:cs="Times New Roman"/>
                <w:lang w:eastAsia="ar-SA"/>
              </w:rPr>
            </w:pPr>
          </w:p>
        </w:tc>
        <w:tc>
          <w:tcPr>
            <w:tcW w:w="1503" w:type="dxa"/>
          </w:tcPr>
          <w:p w14:paraId="221F5257" w14:textId="4A27731D" w:rsidR="00D24868" w:rsidRPr="00680523" w:rsidRDefault="00F16427" w:rsidP="00F746D0">
            <w:pPr>
              <w:suppressAutoHyphens/>
              <w:jc w:val="both"/>
              <w:rPr>
                <w:rFonts w:ascii="Times New Roman" w:eastAsia="Calibri" w:hAnsi="Times New Roman" w:cs="Times New Roman"/>
                <w:lang w:eastAsia="ar-SA"/>
              </w:rPr>
            </w:pPr>
            <w:proofErr w:type="spellStart"/>
            <w:r>
              <w:rPr>
                <w:rFonts w:ascii="Times New Roman" w:eastAsia="Calibri" w:hAnsi="Times New Roman" w:cs="Times New Roman"/>
                <w:lang w:eastAsia="ar-SA"/>
              </w:rPr>
              <w:t>n</w:t>
            </w:r>
            <w:r w:rsidR="00112D20" w:rsidRPr="00680523">
              <w:rPr>
                <w:rFonts w:ascii="Times New Roman" w:eastAsia="Calibri" w:hAnsi="Times New Roman" w:cs="Times New Roman"/>
                <w:lang w:eastAsia="ar-SA"/>
              </w:rPr>
              <w:t>ije</w:t>
            </w:r>
            <w:proofErr w:type="spellEnd"/>
            <w:r>
              <w:rPr>
                <w:rFonts w:ascii="Times New Roman" w:eastAsia="Calibri" w:hAnsi="Times New Roman" w:cs="Times New Roman"/>
                <w:lang w:eastAsia="ar-SA"/>
              </w:rPr>
              <w:t xml:space="preserve"> </w:t>
            </w:r>
            <w:proofErr w:type="spellStart"/>
            <w:r w:rsidR="00112D20" w:rsidRPr="00680523">
              <w:rPr>
                <w:rFonts w:ascii="Times New Roman" w:eastAsia="Calibri" w:hAnsi="Times New Roman" w:cs="Times New Roman"/>
                <w:lang w:eastAsia="ar-SA"/>
              </w:rPr>
              <w:t>moguće</w:t>
            </w:r>
            <w:proofErr w:type="spellEnd"/>
            <w:r w:rsidR="00112D20" w:rsidRPr="00680523">
              <w:rPr>
                <w:rFonts w:ascii="Times New Roman" w:eastAsia="Calibri" w:hAnsi="Times New Roman" w:cs="Times New Roman"/>
                <w:lang w:eastAsia="ar-SA"/>
              </w:rPr>
              <w:t xml:space="preserve"> </w:t>
            </w:r>
            <w:proofErr w:type="spellStart"/>
            <w:r w:rsidR="00112D20" w:rsidRPr="00680523">
              <w:rPr>
                <w:rFonts w:ascii="Times New Roman" w:eastAsia="Calibri" w:hAnsi="Times New Roman" w:cs="Times New Roman"/>
                <w:lang w:eastAsia="ar-SA"/>
              </w:rPr>
              <w:t>procijeniti</w:t>
            </w:r>
            <w:proofErr w:type="spellEnd"/>
            <w:r w:rsidR="00112D20" w:rsidRPr="00680523">
              <w:rPr>
                <w:rFonts w:ascii="Times New Roman" w:eastAsia="Calibri" w:hAnsi="Times New Roman" w:cs="Times New Roman"/>
                <w:lang w:eastAsia="ar-SA"/>
              </w:rPr>
              <w:t xml:space="preserve">  </w:t>
            </w:r>
          </w:p>
        </w:tc>
      </w:tr>
      <w:tr w:rsidR="00D24868" w14:paraId="658816AA" w14:textId="77777777" w:rsidTr="00290643">
        <w:tc>
          <w:tcPr>
            <w:tcW w:w="1502" w:type="dxa"/>
          </w:tcPr>
          <w:p w14:paraId="7C2523D1" w14:textId="2B0700D2" w:rsidR="00290643" w:rsidRPr="00680523" w:rsidRDefault="00290643" w:rsidP="00191B90">
            <w:pPr>
              <w:suppressAutoHyphens/>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lastRenderedPageBreak/>
              <w:t>Fizička</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osoba</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tužitelj</w:t>
            </w:r>
            <w:proofErr w:type="spellEnd"/>
            <w:r w:rsidRPr="00680523">
              <w:rPr>
                <w:rFonts w:ascii="Times New Roman" w:eastAsia="Calibri" w:hAnsi="Times New Roman" w:cs="Times New Roman"/>
                <w:lang w:eastAsia="ar-SA"/>
              </w:rPr>
              <w:t xml:space="preserve">) </w:t>
            </w:r>
          </w:p>
        </w:tc>
        <w:tc>
          <w:tcPr>
            <w:tcW w:w="1502" w:type="dxa"/>
          </w:tcPr>
          <w:p w14:paraId="37DBF69F" w14:textId="1CC8FB37" w:rsidR="00290643" w:rsidRPr="00680523" w:rsidRDefault="00290643" w:rsidP="00290643">
            <w:pPr>
              <w:suppressAutoHyphens/>
              <w:jc w:val="both"/>
              <w:rPr>
                <w:rFonts w:ascii="Times New Roman" w:eastAsia="Calibri" w:hAnsi="Times New Roman" w:cs="Times New Roman"/>
                <w:lang w:eastAsia="ar-SA"/>
              </w:rPr>
            </w:pPr>
            <w:r w:rsidRPr="00680523">
              <w:rPr>
                <w:rFonts w:ascii="Times New Roman" w:eastAsia="Calibri" w:hAnsi="Times New Roman" w:cs="Times New Roman"/>
                <w:lang w:eastAsia="ar-SA"/>
              </w:rPr>
              <w:t xml:space="preserve">1.330,00 </w:t>
            </w:r>
            <w:r w:rsidR="002717DA" w:rsidRPr="00680523">
              <w:rPr>
                <w:rFonts w:ascii="Times New Roman" w:eastAsia="Calibri" w:hAnsi="Times New Roman" w:cs="Times New Roman"/>
                <w:lang w:eastAsia="ar-SA"/>
              </w:rPr>
              <w:t>(VPS)</w:t>
            </w:r>
          </w:p>
        </w:tc>
        <w:tc>
          <w:tcPr>
            <w:tcW w:w="1503" w:type="dxa"/>
          </w:tcPr>
          <w:p w14:paraId="6AF9DFAD" w14:textId="77777777" w:rsidR="00290643" w:rsidRPr="00680523" w:rsidRDefault="00F95188" w:rsidP="00290643">
            <w:pPr>
              <w:suppressAutoHyphens/>
              <w:jc w:val="both"/>
              <w:rPr>
                <w:rFonts w:ascii="Times New Roman" w:eastAsia="Calibri" w:hAnsi="Times New Roman" w:cs="Times New Roman"/>
                <w:lang w:eastAsia="ar-SA"/>
              </w:rPr>
            </w:pPr>
            <w:r w:rsidRPr="00680523">
              <w:rPr>
                <w:rFonts w:ascii="Times New Roman" w:eastAsia="Calibri" w:hAnsi="Times New Roman" w:cs="Times New Roman"/>
                <w:lang w:eastAsia="ar-SA"/>
              </w:rPr>
              <w:t>Pr-14/2024-2,</w:t>
            </w:r>
          </w:p>
          <w:p w14:paraId="0C91089B" w14:textId="04CE09EB" w:rsidR="00F95188" w:rsidRPr="00680523" w:rsidRDefault="00F95188" w:rsidP="00F95188">
            <w:pPr>
              <w:suppressAutoHyphens/>
              <w:rPr>
                <w:rFonts w:ascii="Times New Roman" w:eastAsia="Calibri" w:hAnsi="Times New Roman" w:cs="Times New Roman"/>
                <w:lang w:eastAsia="ar-SA"/>
              </w:rPr>
            </w:pPr>
            <w:r w:rsidRPr="00680523">
              <w:rPr>
                <w:rFonts w:ascii="Times New Roman" w:eastAsia="Calibri" w:hAnsi="Times New Roman" w:cs="Times New Roman"/>
                <w:lang w:eastAsia="ar-SA"/>
              </w:rPr>
              <w:t>O</w:t>
            </w:r>
            <w:r w:rsidR="00D24868" w:rsidRPr="00680523">
              <w:rPr>
                <w:rFonts w:ascii="Times New Roman" w:eastAsia="Calibri" w:hAnsi="Times New Roman" w:cs="Times New Roman"/>
                <w:lang w:eastAsia="ar-SA"/>
              </w:rPr>
              <w:t>S KC</w:t>
            </w:r>
          </w:p>
        </w:tc>
        <w:tc>
          <w:tcPr>
            <w:tcW w:w="1503" w:type="dxa"/>
          </w:tcPr>
          <w:p w14:paraId="3303E9CB" w14:textId="6FFFDEE3" w:rsidR="00290643" w:rsidRPr="00680523" w:rsidRDefault="00290643" w:rsidP="00290643">
            <w:pPr>
              <w:suppressAutoHyphens/>
              <w:jc w:val="both"/>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t>tuženik</w:t>
            </w:r>
            <w:proofErr w:type="spellEnd"/>
          </w:p>
        </w:tc>
        <w:tc>
          <w:tcPr>
            <w:tcW w:w="1503" w:type="dxa"/>
          </w:tcPr>
          <w:p w14:paraId="382CCF2A" w14:textId="40DA1B68" w:rsidR="00290643" w:rsidRPr="00680523" w:rsidRDefault="002717DA" w:rsidP="00191B90">
            <w:pPr>
              <w:suppressAutoHyphens/>
              <w:rPr>
                <w:rFonts w:ascii="Times New Roman" w:eastAsia="Calibri" w:hAnsi="Times New Roman" w:cs="Times New Roman"/>
                <w:lang w:eastAsia="ar-SA"/>
              </w:rPr>
            </w:pPr>
            <w:proofErr w:type="spellStart"/>
            <w:r w:rsidRPr="00680523">
              <w:rPr>
                <w:rFonts w:ascii="Times New Roman" w:eastAsia="Calibri" w:hAnsi="Times New Roman" w:cs="Times New Roman"/>
                <w:lang w:eastAsia="ar-SA"/>
              </w:rPr>
              <w:t>radni</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spor</w:t>
            </w:r>
            <w:proofErr w:type="spellEnd"/>
            <w:r w:rsidR="00290643" w:rsidRPr="00680523">
              <w:rPr>
                <w:rFonts w:ascii="Times New Roman" w:eastAsia="Calibri" w:hAnsi="Times New Roman" w:cs="Times New Roman"/>
                <w:lang w:eastAsia="ar-SA"/>
              </w:rPr>
              <w:t xml:space="preserve"> </w:t>
            </w:r>
          </w:p>
        </w:tc>
        <w:tc>
          <w:tcPr>
            <w:tcW w:w="1503" w:type="dxa"/>
          </w:tcPr>
          <w:p w14:paraId="2A143D80" w14:textId="09D30F3A" w:rsidR="00290643" w:rsidRPr="00680523" w:rsidRDefault="00F746D0" w:rsidP="002717DA">
            <w:pPr>
              <w:suppressAutoHyphens/>
              <w:rPr>
                <w:rFonts w:ascii="Times New Roman" w:eastAsia="Calibri" w:hAnsi="Times New Roman" w:cs="Times New Roman"/>
                <w:lang w:eastAsia="ar-SA"/>
              </w:rPr>
            </w:pPr>
            <w:proofErr w:type="spellStart"/>
            <w:r>
              <w:rPr>
                <w:rFonts w:ascii="Times New Roman" w:eastAsia="Calibri" w:hAnsi="Times New Roman" w:cs="Times New Roman"/>
                <w:lang w:eastAsia="ar-SA"/>
              </w:rPr>
              <w:t>n</w:t>
            </w:r>
            <w:r w:rsidRPr="00680523">
              <w:rPr>
                <w:rFonts w:ascii="Times New Roman" w:eastAsia="Calibri" w:hAnsi="Times New Roman" w:cs="Times New Roman"/>
                <w:lang w:eastAsia="ar-SA"/>
              </w:rPr>
              <w:t>ije</w:t>
            </w:r>
            <w:proofErr w:type="spellEnd"/>
            <w:r>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moguće</w:t>
            </w:r>
            <w:proofErr w:type="spellEnd"/>
            <w:r w:rsidRPr="00680523">
              <w:rPr>
                <w:rFonts w:ascii="Times New Roman" w:eastAsia="Calibri" w:hAnsi="Times New Roman" w:cs="Times New Roman"/>
                <w:lang w:eastAsia="ar-SA"/>
              </w:rPr>
              <w:t xml:space="preserve"> </w:t>
            </w:r>
            <w:proofErr w:type="spellStart"/>
            <w:r w:rsidRPr="00680523">
              <w:rPr>
                <w:rFonts w:ascii="Times New Roman" w:eastAsia="Calibri" w:hAnsi="Times New Roman" w:cs="Times New Roman"/>
                <w:lang w:eastAsia="ar-SA"/>
              </w:rPr>
              <w:t>procijeniti</w:t>
            </w:r>
            <w:proofErr w:type="spellEnd"/>
            <w:r w:rsidRPr="00680523">
              <w:rPr>
                <w:rFonts w:ascii="Times New Roman" w:eastAsia="Calibri" w:hAnsi="Times New Roman" w:cs="Times New Roman"/>
                <w:lang w:eastAsia="ar-SA"/>
              </w:rPr>
              <w:t xml:space="preserve">  </w:t>
            </w:r>
          </w:p>
        </w:tc>
      </w:tr>
      <w:tr w:rsidR="00D24868" w14:paraId="6E0999EA" w14:textId="77777777" w:rsidTr="00290643">
        <w:tc>
          <w:tcPr>
            <w:tcW w:w="1502" w:type="dxa"/>
          </w:tcPr>
          <w:p w14:paraId="30DA5652" w14:textId="13E1B124" w:rsidR="00290643" w:rsidRPr="00680523" w:rsidRDefault="00290643" w:rsidP="00290643">
            <w:pPr>
              <w:suppressAutoHyphens/>
              <w:jc w:val="both"/>
              <w:rPr>
                <w:rFonts w:ascii="Times New Roman" w:eastAsia="Calibri" w:hAnsi="Times New Roman" w:cs="Times New Roman"/>
                <w:lang w:eastAsia="ar-SA"/>
              </w:rPr>
            </w:pPr>
            <w:r w:rsidRPr="00680523">
              <w:rPr>
                <w:rFonts w:ascii="Times New Roman" w:eastAsia="Calibri" w:hAnsi="Times New Roman" w:cs="Times New Roman"/>
                <w:lang w:eastAsia="ar-SA"/>
              </w:rPr>
              <w:t>UKUPNO</w:t>
            </w:r>
            <w:r w:rsidR="00191B90" w:rsidRPr="00680523">
              <w:rPr>
                <w:rFonts w:ascii="Times New Roman" w:eastAsia="Calibri" w:hAnsi="Times New Roman" w:cs="Times New Roman"/>
                <w:lang w:eastAsia="ar-SA"/>
              </w:rPr>
              <w:t>:</w:t>
            </w:r>
          </w:p>
        </w:tc>
        <w:tc>
          <w:tcPr>
            <w:tcW w:w="1502" w:type="dxa"/>
          </w:tcPr>
          <w:p w14:paraId="432E441B" w14:textId="0B875F40" w:rsidR="00290643" w:rsidRPr="00680523" w:rsidRDefault="00191B90" w:rsidP="00290643">
            <w:pPr>
              <w:suppressAutoHyphens/>
              <w:jc w:val="both"/>
              <w:rPr>
                <w:rFonts w:ascii="Times New Roman" w:eastAsia="Calibri" w:hAnsi="Times New Roman" w:cs="Times New Roman"/>
                <w:lang w:eastAsia="ar-SA"/>
              </w:rPr>
            </w:pPr>
            <w:r w:rsidRPr="00680523">
              <w:rPr>
                <w:rFonts w:ascii="Times New Roman" w:eastAsia="Calibri" w:hAnsi="Times New Roman" w:cs="Times New Roman"/>
                <w:lang w:eastAsia="ar-SA"/>
              </w:rPr>
              <w:t xml:space="preserve">1.330,00 </w:t>
            </w:r>
          </w:p>
        </w:tc>
        <w:tc>
          <w:tcPr>
            <w:tcW w:w="1503" w:type="dxa"/>
          </w:tcPr>
          <w:p w14:paraId="60F7A21D" w14:textId="77777777" w:rsidR="00290643" w:rsidRPr="00680523" w:rsidRDefault="00290643" w:rsidP="00290643">
            <w:pPr>
              <w:suppressAutoHyphens/>
              <w:jc w:val="both"/>
              <w:rPr>
                <w:rFonts w:ascii="Times New Roman" w:eastAsia="Calibri" w:hAnsi="Times New Roman" w:cs="Times New Roman"/>
                <w:lang w:eastAsia="ar-SA"/>
              </w:rPr>
            </w:pPr>
          </w:p>
        </w:tc>
        <w:tc>
          <w:tcPr>
            <w:tcW w:w="1503" w:type="dxa"/>
          </w:tcPr>
          <w:p w14:paraId="1713185E" w14:textId="77777777" w:rsidR="00290643" w:rsidRPr="00680523" w:rsidRDefault="00290643" w:rsidP="00290643">
            <w:pPr>
              <w:suppressAutoHyphens/>
              <w:jc w:val="both"/>
              <w:rPr>
                <w:rFonts w:ascii="Times New Roman" w:eastAsia="Calibri" w:hAnsi="Times New Roman" w:cs="Times New Roman"/>
                <w:lang w:eastAsia="ar-SA"/>
              </w:rPr>
            </w:pPr>
          </w:p>
        </w:tc>
        <w:tc>
          <w:tcPr>
            <w:tcW w:w="1503" w:type="dxa"/>
          </w:tcPr>
          <w:p w14:paraId="529A7BDB" w14:textId="77777777" w:rsidR="00290643" w:rsidRPr="00680523" w:rsidRDefault="00290643" w:rsidP="00290643">
            <w:pPr>
              <w:suppressAutoHyphens/>
              <w:jc w:val="both"/>
              <w:rPr>
                <w:rFonts w:ascii="Times New Roman" w:eastAsia="Calibri" w:hAnsi="Times New Roman" w:cs="Times New Roman"/>
                <w:lang w:eastAsia="ar-SA"/>
              </w:rPr>
            </w:pPr>
          </w:p>
        </w:tc>
        <w:tc>
          <w:tcPr>
            <w:tcW w:w="1503" w:type="dxa"/>
          </w:tcPr>
          <w:p w14:paraId="0B8E52C2" w14:textId="77777777" w:rsidR="00290643" w:rsidRPr="00680523" w:rsidRDefault="00290643" w:rsidP="00290643">
            <w:pPr>
              <w:suppressAutoHyphens/>
              <w:jc w:val="both"/>
              <w:rPr>
                <w:rFonts w:ascii="Times New Roman" w:eastAsia="Calibri" w:hAnsi="Times New Roman" w:cs="Times New Roman"/>
                <w:lang w:eastAsia="ar-SA"/>
              </w:rPr>
            </w:pPr>
          </w:p>
        </w:tc>
      </w:tr>
    </w:tbl>
    <w:p w14:paraId="102429D1" w14:textId="77777777" w:rsidR="00290643" w:rsidRDefault="00290643" w:rsidP="00290643">
      <w:pPr>
        <w:suppressAutoHyphens/>
        <w:spacing w:after="0" w:line="240" w:lineRule="auto"/>
        <w:jc w:val="both"/>
        <w:rPr>
          <w:rFonts w:ascii="Times New Roman" w:eastAsia="Calibri" w:hAnsi="Times New Roman" w:cs="Times New Roman"/>
          <w:b/>
          <w:bCs/>
          <w:sz w:val="24"/>
          <w:szCs w:val="24"/>
          <w:lang w:eastAsia="ar-SA"/>
        </w:rPr>
      </w:pPr>
    </w:p>
    <w:p w14:paraId="4E848E74" w14:textId="77777777" w:rsidR="00290643" w:rsidRDefault="00290643" w:rsidP="00803102">
      <w:pPr>
        <w:spacing w:after="0" w:line="240" w:lineRule="auto"/>
        <w:jc w:val="both"/>
        <w:rPr>
          <w:rFonts w:ascii="Times New Roman" w:hAnsi="Times New Roman" w:cs="Times New Roman"/>
          <w:sz w:val="24"/>
          <w:szCs w:val="24"/>
        </w:rPr>
      </w:pPr>
    </w:p>
    <w:p w14:paraId="29BBD084" w14:textId="6EE7ED2B" w:rsidR="000C5685" w:rsidRDefault="00E85B68" w:rsidP="000C5685">
      <w:pPr>
        <w:suppressAutoHyphens/>
        <w:spacing w:after="0" w:line="240" w:lineRule="auto"/>
        <w:jc w:val="both"/>
        <w:rPr>
          <w:rFonts w:ascii="Times New Roman" w:eastAsia="Calibri" w:hAnsi="Times New Roman" w:cs="Times New Roman"/>
          <w:b/>
          <w:bCs/>
          <w:sz w:val="24"/>
          <w:szCs w:val="24"/>
          <w:lang w:eastAsia="ar-SA"/>
        </w:rPr>
      </w:pPr>
      <w:r w:rsidRPr="00E85B68">
        <w:rPr>
          <w:rFonts w:ascii="Times New Roman" w:hAnsi="Times New Roman" w:cs="Times New Roman"/>
          <w:b/>
          <w:bCs/>
          <w:sz w:val="24"/>
          <w:szCs w:val="24"/>
        </w:rPr>
        <w:t>3.1.</w:t>
      </w:r>
      <w:r w:rsidR="00290643">
        <w:rPr>
          <w:rFonts w:ascii="Times New Roman" w:hAnsi="Times New Roman" w:cs="Times New Roman"/>
          <w:b/>
          <w:bCs/>
          <w:sz w:val="24"/>
          <w:szCs w:val="24"/>
        </w:rPr>
        <w:t>5</w:t>
      </w:r>
      <w:r w:rsidRPr="00E85B68">
        <w:rPr>
          <w:rFonts w:ascii="Times New Roman" w:hAnsi="Times New Roman" w:cs="Times New Roman"/>
          <w:b/>
          <w:bCs/>
          <w:sz w:val="24"/>
          <w:szCs w:val="24"/>
        </w:rPr>
        <w:t>.</w:t>
      </w:r>
      <w:r w:rsidR="000C5685" w:rsidRPr="00E721E2">
        <w:rPr>
          <w:rFonts w:ascii="Times New Roman" w:eastAsia="Calibri" w:hAnsi="Times New Roman" w:cs="Times New Roman"/>
          <w:b/>
          <w:bCs/>
          <w:sz w:val="24"/>
          <w:szCs w:val="24"/>
          <w:lang w:eastAsia="ar-SA"/>
        </w:rPr>
        <w:t xml:space="preserve"> IZVJEŠTAJ O KORIŠTENJU FONDOVA EUROPSKE UNIJE</w:t>
      </w:r>
    </w:p>
    <w:p w14:paraId="253B19BE" w14:textId="77777777" w:rsidR="000C5685" w:rsidRDefault="000C5685" w:rsidP="000C5685">
      <w:pPr>
        <w:suppressAutoHyphens/>
        <w:spacing w:after="0" w:line="240" w:lineRule="auto"/>
        <w:jc w:val="both"/>
        <w:rPr>
          <w:rFonts w:ascii="Times New Roman" w:eastAsia="Calibri" w:hAnsi="Times New Roman" w:cs="Times New Roman"/>
          <w:b/>
          <w:bCs/>
          <w:sz w:val="24"/>
          <w:szCs w:val="24"/>
          <w:lang w:eastAsia="ar-SA"/>
        </w:rPr>
      </w:pPr>
    </w:p>
    <w:p w14:paraId="655EB396" w14:textId="4FC59BFE" w:rsidR="00A10286" w:rsidRPr="00A330D4" w:rsidRDefault="00A10286" w:rsidP="000C5685">
      <w:pPr>
        <w:suppressAutoHyphens/>
        <w:spacing w:after="0" w:line="240" w:lineRule="auto"/>
        <w:jc w:val="both"/>
        <w:rPr>
          <w:rFonts w:ascii="Times New Roman" w:eastAsia="Calibri" w:hAnsi="Times New Roman" w:cs="Times New Roman"/>
          <w:b/>
          <w:bCs/>
          <w:sz w:val="24"/>
          <w:szCs w:val="24"/>
          <w:lang w:eastAsia="ar-SA"/>
        </w:rPr>
      </w:pPr>
      <w:r w:rsidRPr="00A330D4">
        <w:rPr>
          <w:rFonts w:ascii="Times New Roman" w:eastAsia="Calibri" w:hAnsi="Times New Roman" w:cs="Times New Roman"/>
          <w:b/>
          <w:bCs/>
          <w:sz w:val="24"/>
          <w:szCs w:val="24"/>
          <w:lang w:eastAsia="ar-SA"/>
        </w:rPr>
        <w:t>S</w:t>
      </w:r>
      <w:r w:rsidR="00E94DC7" w:rsidRPr="00A330D4">
        <w:rPr>
          <w:rFonts w:ascii="Times New Roman" w:eastAsia="Calibri" w:hAnsi="Times New Roman" w:cs="Times New Roman"/>
          <w:b/>
          <w:bCs/>
          <w:sz w:val="24"/>
          <w:szCs w:val="24"/>
          <w:lang w:eastAsia="ar-SA"/>
        </w:rPr>
        <w:t>porazum o dodjeli bespovratnih sredstava u provedbi jačanja kapaciteta na regionalnoj i lokalnoj razini za korištenje EU fondova Ministarstva regionalnoga razvoja i fondova EU</w:t>
      </w:r>
    </w:p>
    <w:p w14:paraId="6D4F450E" w14:textId="5EC74DB8" w:rsidR="00C8539F" w:rsidRPr="00A330D4" w:rsidRDefault="00C8539F" w:rsidP="000C5685">
      <w:pPr>
        <w:suppressAutoHyphens/>
        <w:spacing w:after="0" w:line="240" w:lineRule="auto"/>
        <w:jc w:val="both"/>
        <w:rPr>
          <w:rFonts w:ascii="Times New Roman" w:eastAsia="Calibri" w:hAnsi="Times New Roman" w:cs="Times New Roman"/>
          <w:sz w:val="24"/>
          <w:szCs w:val="24"/>
          <w:lang w:eastAsia="ar-SA"/>
        </w:rPr>
      </w:pPr>
      <w:r w:rsidRPr="00A330D4">
        <w:rPr>
          <w:rFonts w:ascii="Times New Roman" w:eastAsia="Calibri" w:hAnsi="Times New Roman" w:cs="Times New Roman"/>
          <w:b/>
          <w:bCs/>
          <w:sz w:val="24"/>
          <w:szCs w:val="24"/>
          <w:lang w:eastAsia="ar-SA"/>
        </w:rPr>
        <w:t xml:space="preserve">Korisnik: </w:t>
      </w:r>
      <w:r w:rsidRPr="00A330D4">
        <w:rPr>
          <w:rFonts w:ascii="Times New Roman" w:eastAsia="Calibri" w:hAnsi="Times New Roman" w:cs="Times New Roman"/>
          <w:sz w:val="24"/>
          <w:szCs w:val="24"/>
          <w:lang w:eastAsia="ar-SA"/>
        </w:rPr>
        <w:t>PORA Regionalna razvojna agencija Koprivničko-križevačke županije</w:t>
      </w:r>
    </w:p>
    <w:p w14:paraId="7F4EA166" w14:textId="3B5F95C6" w:rsidR="00C8539F" w:rsidRPr="00A330D4" w:rsidRDefault="00C8539F" w:rsidP="000C5685">
      <w:pPr>
        <w:suppressAutoHyphens/>
        <w:spacing w:after="0" w:line="240" w:lineRule="auto"/>
        <w:jc w:val="both"/>
        <w:rPr>
          <w:rFonts w:ascii="Times New Roman" w:eastAsia="Calibri" w:hAnsi="Times New Roman" w:cs="Times New Roman"/>
          <w:sz w:val="24"/>
          <w:szCs w:val="24"/>
          <w:lang w:eastAsia="ar-SA"/>
        </w:rPr>
      </w:pPr>
      <w:r w:rsidRPr="00A330D4">
        <w:rPr>
          <w:rFonts w:ascii="Times New Roman" w:eastAsia="Calibri" w:hAnsi="Times New Roman" w:cs="Times New Roman"/>
          <w:b/>
          <w:bCs/>
          <w:sz w:val="24"/>
          <w:szCs w:val="24"/>
          <w:lang w:eastAsia="ar-SA"/>
        </w:rPr>
        <w:t>Trajanje</w:t>
      </w:r>
      <w:r w:rsidRPr="00A330D4">
        <w:rPr>
          <w:rFonts w:ascii="Times New Roman" w:eastAsia="Calibri" w:hAnsi="Times New Roman" w:cs="Times New Roman"/>
          <w:sz w:val="24"/>
          <w:szCs w:val="24"/>
          <w:lang w:eastAsia="ar-SA"/>
        </w:rPr>
        <w:t>: 01. siječnja 2024. – 31.</w:t>
      </w:r>
      <w:r w:rsidR="00501255" w:rsidRPr="00A330D4">
        <w:rPr>
          <w:rFonts w:ascii="Times New Roman" w:eastAsia="Calibri" w:hAnsi="Times New Roman" w:cs="Times New Roman"/>
          <w:sz w:val="24"/>
          <w:szCs w:val="24"/>
          <w:lang w:eastAsia="ar-SA"/>
        </w:rPr>
        <w:t xml:space="preserve"> prosinca </w:t>
      </w:r>
      <w:r w:rsidRPr="00A330D4">
        <w:rPr>
          <w:rFonts w:ascii="Times New Roman" w:eastAsia="Calibri" w:hAnsi="Times New Roman" w:cs="Times New Roman"/>
          <w:sz w:val="24"/>
          <w:szCs w:val="24"/>
          <w:lang w:eastAsia="ar-SA"/>
        </w:rPr>
        <w:t xml:space="preserve">2025. </w:t>
      </w:r>
    </w:p>
    <w:p w14:paraId="2963038D" w14:textId="34443034" w:rsidR="00C8539F" w:rsidRPr="00A330D4" w:rsidRDefault="00C8539F" w:rsidP="000C5685">
      <w:pPr>
        <w:suppressAutoHyphens/>
        <w:spacing w:after="0" w:line="240" w:lineRule="auto"/>
        <w:jc w:val="both"/>
        <w:rPr>
          <w:rFonts w:ascii="Times New Roman" w:eastAsia="Calibri" w:hAnsi="Times New Roman" w:cs="Times New Roman"/>
          <w:b/>
          <w:bCs/>
          <w:sz w:val="24"/>
          <w:szCs w:val="24"/>
          <w:lang w:eastAsia="ar-SA"/>
        </w:rPr>
      </w:pPr>
      <w:r w:rsidRPr="00A330D4">
        <w:rPr>
          <w:rFonts w:ascii="Times New Roman" w:eastAsia="Calibri" w:hAnsi="Times New Roman" w:cs="Times New Roman"/>
          <w:b/>
          <w:bCs/>
          <w:sz w:val="24"/>
          <w:szCs w:val="24"/>
          <w:lang w:eastAsia="ar-SA"/>
        </w:rPr>
        <w:t xml:space="preserve">Ukupna vrijednost: </w:t>
      </w:r>
      <w:r w:rsidRPr="00A330D4">
        <w:rPr>
          <w:rFonts w:ascii="Times New Roman" w:eastAsia="Calibri" w:hAnsi="Times New Roman" w:cs="Times New Roman"/>
          <w:sz w:val="24"/>
          <w:szCs w:val="24"/>
          <w:lang w:eastAsia="ar-SA"/>
        </w:rPr>
        <w:t>620.314,05 EUR</w:t>
      </w:r>
    </w:p>
    <w:p w14:paraId="3A8F3A28" w14:textId="32A0FBAA" w:rsidR="00501255" w:rsidRPr="00F746D0" w:rsidRDefault="00C8539F" w:rsidP="000C5685">
      <w:pPr>
        <w:suppressAutoHyphens/>
        <w:spacing w:after="0" w:line="240" w:lineRule="auto"/>
        <w:jc w:val="both"/>
        <w:rPr>
          <w:rFonts w:ascii="Times New Roman" w:eastAsia="Calibri" w:hAnsi="Times New Roman" w:cs="Times New Roman"/>
          <w:sz w:val="24"/>
          <w:szCs w:val="24"/>
          <w:lang w:eastAsia="ar-SA"/>
        </w:rPr>
      </w:pPr>
      <w:r w:rsidRPr="00A330D4">
        <w:rPr>
          <w:rFonts w:ascii="Times New Roman" w:eastAsia="Calibri" w:hAnsi="Times New Roman" w:cs="Times New Roman"/>
          <w:sz w:val="24"/>
          <w:szCs w:val="24"/>
          <w:lang w:eastAsia="ar-SA"/>
        </w:rPr>
        <w:t>Glavna svrha Sporazuma je omogućiti regionalnim koordinatorima pružanje kvalitetne podrške</w:t>
      </w:r>
      <w:r w:rsidR="00445433" w:rsidRPr="00A330D4">
        <w:rPr>
          <w:rFonts w:ascii="Times New Roman" w:eastAsia="Calibri" w:hAnsi="Times New Roman" w:cs="Times New Roman"/>
          <w:sz w:val="24"/>
          <w:szCs w:val="24"/>
          <w:lang w:eastAsia="ar-SA"/>
        </w:rPr>
        <w:t xml:space="preserve"> </w:t>
      </w:r>
      <w:r w:rsidRPr="00A330D4">
        <w:rPr>
          <w:rFonts w:ascii="Times New Roman" w:eastAsia="Calibri" w:hAnsi="Times New Roman" w:cs="Times New Roman"/>
          <w:sz w:val="24"/>
          <w:szCs w:val="24"/>
          <w:lang w:eastAsia="ar-SA"/>
        </w:rPr>
        <w:t>javnopravnim tijelima, javnim ustanovama s područja Koprivničko-križevačke županije, kojima su osnivači Republika Hrvatska ili jedinice lokalne i područ</w:t>
      </w:r>
      <w:r w:rsidR="00445433" w:rsidRPr="00A330D4">
        <w:rPr>
          <w:rFonts w:ascii="Times New Roman" w:eastAsia="Calibri" w:hAnsi="Times New Roman" w:cs="Times New Roman"/>
          <w:sz w:val="24"/>
          <w:szCs w:val="24"/>
          <w:lang w:eastAsia="ar-SA"/>
        </w:rPr>
        <w:t>ne (regionalne) samouprave u pripremi i provedbi razvojnih projekata od interesa za razvoj županije</w:t>
      </w:r>
      <w:r w:rsidR="00A330D4" w:rsidRPr="00A330D4">
        <w:rPr>
          <w:rFonts w:ascii="Times New Roman" w:eastAsia="Calibri" w:hAnsi="Times New Roman" w:cs="Times New Roman"/>
          <w:sz w:val="24"/>
          <w:szCs w:val="24"/>
          <w:lang w:eastAsia="ar-SA"/>
        </w:rPr>
        <w:t>, a sukladno članku 25. Zakona o regionalnom razvoju.</w:t>
      </w:r>
    </w:p>
    <w:p w14:paraId="3867516C" w14:textId="77777777" w:rsidR="00501255" w:rsidRDefault="00501255" w:rsidP="000C5685">
      <w:pPr>
        <w:suppressAutoHyphens/>
        <w:spacing w:after="0" w:line="240" w:lineRule="auto"/>
        <w:jc w:val="both"/>
        <w:rPr>
          <w:rFonts w:ascii="Times New Roman" w:eastAsia="Calibri" w:hAnsi="Times New Roman" w:cs="Times New Roman"/>
          <w:b/>
          <w:bCs/>
          <w:sz w:val="24"/>
          <w:szCs w:val="24"/>
          <w:lang w:eastAsia="ar-SA"/>
        </w:rPr>
      </w:pPr>
    </w:p>
    <w:p w14:paraId="675753EE" w14:textId="77777777" w:rsidR="000C5685" w:rsidRPr="00EE706A" w:rsidRDefault="000C5685" w:rsidP="000C5685">
      <w:pPr>
        <w:suppressAutoHyphens/>
        <w:spacing w:after="0" w:line="240" w:lineRule="auto"/>
        <w:jc w:val="both"/>
        <w:rPr>
          <w:rFonts w:ascii="Times New Roman" w:eastAsia="Calibri" w:hAnsi="Times New Roman" w:cs="Times New Roman"/>
          <w:b/>
          <w:bCs/>
          <w:sz w:val="24"/>
          <w:szCs w:val="24"/>
          <w:lang w:eastAsia="ar-SA"/>
        </w:rPr>
      </w:pPr>
      <w:r w:rsidRPr="00EE706A">
        <w:rPr>
          <w:rFonts w:ascii="Times New Roman" w:eastAsia="Calibri" w:hAnsi="Times New Roman" w:cs="Times New Roman"/>
          <w:b/>
          <w:bCs/>
          <w:sz w:val="24"/>
          <w:szCs w:val="24"/>
          <w:lang w:eastAsia="ar-SA"/>
        </w:rPr>
        <w:t>Projekt „Europe Direct Koprivničko</w:t>
      </w:r>
      <w:r>
        <w:rPr>
          <w:rFonts w:ascii="Times New Roman" w:eastAsia="Calibri" w:hAnsi="Times New Roman" w:cs="Times New Roman"/>
          <w:b/>
          <w:bCs/>
          <w:sz w:val="24"/>
          <w:szCs w:val="24"/>
          <w:lang w:eastAsia="ar-SA"/>
        </w:rPr>
        <w:t>-</w:t>
      </w:r>
      <w:r w:rsidRPr="00EE706A">
        <w:rPr>
          <w:rFonts w:ascii="Times New Roman" w:eastAsia="Calibri" w:hAnsi="Times New Roman" w:cs="Times New Roman"/>
          <w:b/>
          <w:bCs/>
          <w:sz w:val="24"/>
          <w:szCs w:val="24"/>
          <w:lang w:eastAsia="ar-SA"/>
        </w:rPr>
        <w:t>križevačke županije“</w:t>
      </w:r>
    </w:p>
    <w:p w14:paraId="1C3BBD5C"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w:t>
      </w:r>
      <w:r w:rsidRPr="00EE706A">
        <w:rPr>
          <w:rFonts w:ascii="Times New Roman" w:eastAsia="Calibri" w:hAnsi="Times New Roman" w:cs="Times New Roman"/>
          <w:sz w:val="24"/>
          <w:szCs w:val="24"/>
          <w:lang w:eastAsia="ar-SA"/>
        </w:rPr>
        <w:t xml:space="preserve">dobren je za financiranje u okviru Poziva na podnošenje prijedloga za odabir partnera koji će voditi Europe Direct u razdoblju 2021. – 2025. Poziv </w:t>
      </w:r>
      <w:r>
        <w:rPr>
          <w:rFonts w:ascii="Times New Roman" w:eastAsia="Calibri" w:hAnsi="Times New Roman" w:cs="Times New Roman"/>
          <w:sz w:val="24"/>
          <w:szCs w:val="24"/>
          <w:lang w:eastAsia="ar-SA"/>
        </w:rPr>
        <w:t xml:space="preserve">je </w:t>
      </w:r>
      <w:r w:rsidRPr="00EE706A">
        <w:rPr>
          <w:rFonts w:ascii="Times New Roman" w:eastAsia="Calibri" w:hAnsi="Times New Roman" w:cs="Times New Roman"/>
          <w:sz w:val="24"/>
          <w:szCs w:val="24"/>
          <w:lang w:eastAsia="ar-SA"/>
        </w:rPr>
        <w:t>objav</w:t>
      </w:r>
      <w:r>
        <w:rPr>
          <w:rFonts w:ascii="Times New Roman" w:eastAsia="Calibri" w:hAnsi="Times New Roman" w:cs="Times New Roman"/>
          <w:sz w:val="24"/>
          <w:szCs w:val="24"/>
          <w:lang w:eastAsia="ar-SA"/>
        </w:rPr>
        <w:t>ila</w:t>
      </w:r>
      <w:r w:rsidRPr="00EE706A">
        <w:rPr>
          <w:rFonts w:ascii="Times New Roman" w:eastAsia="Calibri" w:hAnsi="Times New Roman" w:cs="Times New Roman"/>
          <w:sz w:val="24"/>
          <w:szCs w:val="24"/>
          <w:lang w:eastAsia="ar-SA"/>
        </w:rPr>
        <w:t xml:space="preserve"> Europska komisija putem svojeg predstavništva u Hrvatskoj.</w:t>
      </w:r>
    </w:p>
    <w:p w14:paraId="3ADC3B7A"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Korisnik:</w:t>
      </w:r>
      <w:r w:rsidRPr="00EE706A">
        <w:rPr>
          <w:rFonts w:ascii="Times New Roman" w:eastAsia="Calibri" w:hAnsi="Times New Roman" w:cs="Times New Roman"/>
          <w:sz w:val="24"/>
          <w:szCs w:val="24"/>
          <w:lang w:eastAsia="ar-SA"/>
        </w:rPr>
        <w:t xml:space="preserve"> PORA Regionalna razvojna agencija Koprivničko-križevačke županije</w:t>
      </w:r>
    </w:p>
    <w:p w14:paraId="2DE294FB"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Partner:</w:t>
      </w:r>
      <w:r w:rsidRPr="00EE706A">
        <w:rPr>
          <w:rFonts w:ascii="Times New Roman" w:eastAsia="Calibri" w:hAnsi="Times New Roman" w:cs="Times New Roman"/>
          <w:sz w:val="24"/>
          <w:szCs w:val="24"/>
          <w:lang w:eastAsia="ar-SA"/>
        </w:rPr>
        <w:t> Europska komisija</w:t>
      </w:r>
    </w:p>
    <w:p w14:paraId="687A3CF8"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Trajanje projekta:</w:t>
      </w:r>
      <w:r w:rsidRPr="00EE706A">
        <w:rPr>
          <w:rFonts w:ascii="Times New Roman" w:eastAsia="Calibri" w:hAnsi="Times New Roman" w:cs="Times New Roman"/>
          <w:sz w:val="24"/>
          <w:szCs w:val="24"/>
          <w:lang w:eastAsia="ar-SA"/>
        </w:rPr>
        <w:t xml:space="preserve"> 1. svibnja 2021. – 31. prosinca 2025.</w:t>
      </w:r>
    </w:p>
    <w:p w14:paraId="3481E37D" w14:textId="727B2BA0"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Ukupna vrijednost projekta</w:t>
      </w:r>
      <w:r w:rsidRPr="00EE706A">
        <w:rPr>
          <w:rFonts w:ascii="Times New Roman" w:eastAsia="Calibri" w:hAnsi="Times New Roman" w:cs="Times New Roman"/>
          <w:sz w:val="24"/>
          <w:szCs w:val="24"/>
          <w:lang w:eastAsia="ar-SA"/>
        </w:rPr>
        <w:t>: 145.067</w:t>
      </w:r>
      <w:r w:rsidR="007D159F">
        <w:rPr>
          <w:rFonts w:ascii="Times New Roman" w:eastAsia="Calibri" w:hAnsi="Times New Roman" w:cs="Times New Roman"/>
          <w:sz w:val="24"/>
          <w:szCs w:val="24"/>
          <w:lang w:eastAsia="ar-SA"/>
        </w:rPr>
        <w:t>,00</w:t>
      </w:r>
      <w:r w:rsidRPr="00EE706A">
        <w:rPr>
          <w:rFonts w:ascii="Times New Roman" w:eastAsia="Calibri" w:hAnsi="Times New Roman" w:cs="Times New Roman"/>
          <w:sz w:val="24"/>
          <w:szCs w:val="24"/>
          <w:lang w:eastAsia="ar-SA"/>
        </w:rPr>
        <w:t xml:space="preserve"> EUR</w:t>
      </w:r>
    </w:p>
    <w:p w14:paraId="223BB22C" w14:textId="504369EC" w:rsidR="004C6623" w:rsidRPr="00EE706A" w:rsidRDefault="004C6623" w:rsidP="004C6623">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sz w:val="24"/>
          <w:szCs w:val="24"/>
          <w:lang w:eastAsia="ar-SA"/>
        </w:rPr>
        <w:t xml:space="preserve">Europe Direct Koprivničko-križevačke županije član je mreže Europe Direct </w:t>
      </w:r>
      <w:r>
        <w:rPr>
          <w:rFonts w:ascii="Times New Roman" w:eastAsia="Calibri" w:hAnsi="Times New Roman" w:cs="Times New Roman"/>
          <w:sz w:val="24"/>
          <w:szCs w:val="24"/>
          <w:lang w:eastAsia="ar-SA"/>
        </w:rPr>
        <w:t xml:space="preserve">centara </w:t>
      </w:r>
      <w:r w:rsidRPr="00EE706A">
        <w:rPr>
          <w:rFonts w:ascii="Times New Roman" w:eastAsia="Calibri" w:hAnsi="Times New Roman" w:cs="Times New Roman"/>
          <w:sz w:val="24"/>
          <w:szCs w:val="24"/>
          <w:lang w:eastAsia="ar-SA"/>
        </w:rPr>
        <w:t xml:space="preserve">u Hrvatskoj, koja je dio sveeuropske mreže centara. </w:t>
      </w:r>
      <w:r>
        <w:rPr>
          <w:rFonts w:ascii="Times New Roman" w:eastAsia="Calibri" w:hAnsi="Times New Roman" w:cs="Times New Roman"/>
          <w:sz w:val="24"/>
          <w:szCs w:val="24"/>
          <w:lang w:eastAsia="ar-SA"/>
        </w:rPr>
        <w:t>Europe Direct c</w:t>
      </w:r>
      <w:r w:rsidRPr="00EE706A">
        <w:rPr>
          <w:rFonts w:ascii="Times New Roman" w:eastAsia="Calibri" w:hAnsi="Times New Roman" w:cs="Times New Roman"/>
          <w:sz w:val="24"/>
          <w:szCs w:val="24"/>
          <w:lang w:eastAsia="ar-SA"/>
        </w:rPr>
        <w:t>entri</w:t>
      </w:r>
      <w:r>
        <w:rPr>
          <w:rFonts w:ascii="Times New Roman" w:eastAsia="Calibri" w:hAnsi="Times New Roman" w:cs="Times New Roman"/>
          <w:sz w:val="24"/>
          <w:szCs w:val="24"/>
          <w:lang w:eastAsia="ar-SA"/>
        </w:rPr>
        <w:t xml:space="preserve"> imaju cilj</w:t>
      </w:r>
      <w:r w:rsidRPr="00EE706A">
        <w:rPr>
          <w:rFonts w:ascii="Times New Roman" w:eastAsia="Calibri" w:hAnsi="Times New Roman" w:cs="Times New Roman"/>
          <w:sz w:val="24"/>
          <w:szCs w:val="24"/>
          <w:lang w:eastAsia="ar-SA"/>
        </w:rPr>
        <w:t xml:space="preserve"> približ</w:t>
      </w:r>
      <w:r>
        <w:rPr>
          <w:rFonts w:ascii="Times New Roman" w:eastAsia="Calibri" w:hAnsi="Times New Roman" w:cs="Times New Roman"/>
          <w:sz w:val="24"/>
          <w:szCs w:val="24"/>
          <w:lang w:eastAsia="ar-SA"/>
        </w:rPr>
        <w:t>iti aktualne teme na europskom nivou građanima, te ih</w:t>
      </w:r>
      <w:r w:rsidRPr="00EE706A">
        <w:rPr>
          <w:rFonts w:ascii="Times New Roman" w:eastAsia="Calibri" w:hAnsi="Times New Roman" w:cs="Times New Roman"/>
          <w:sz w:val="24"/>
          <w:szCs w:val="24"/>
          <w:lang w:eastAsia="ar-SA"/>
        </w:rPr>
        <w:t xml:space="preserve"> potiču da se uključe u rasprave o budućnosti EU-a. </w:t>
      </w:r>
    </w:p>
    <w:p w14:paraId="58598CDE" w14:textId="77777777" w:rsidR="000C5685" w:rsidRDefault="000C5685" w:rsidP="000C5685">
      <w:pPr>
        <w:suppressAutoHyphens/>
        <w:spacing w:after="0" w:line="240" w:lineRule="auto"/>
        <w:jc w:val="both"/>
        <w:rPr>
          <w:rFonts w:ascii="Times New Roman" w:eastAsia="Calibri" w:hAnsi="Times New Roman" w:cs="Times New Roman"/>
          <w:sz w:val="24"/>
          <w:szCs w:val="24"/>
          <w:lang w:eastAsia="ar-SA"/>
        </w:rPr>
      </w:pPr>
    </w:p>
    <w:p w14:paraId="7E7E03A0" w14:textId="77777777" w:rsidR="000C5685" w:rsidRPr="00EE706A" w:rsidRDefault="000C5685" w:rsidP="000C5685">
      <w:pPr>
        <w:suppressAutoHyphens/>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Projekt </w:t>
      </w:r>
      <w:r w:rsidRPr="00EE706A">
        <w:rPr>
          <w:rFonts w:ascii="Times New Roman" w:eastAsia="Calibri" w:hAnsi="Times New Roman" w:cs="Times New Roman"/>
          <w:b/>
          <w:bCs/>
          <w:sz w:val="24"/>
          <w:szCs w:val="24"/>
          <w:lang w:eastAsia="ar-SA"/>
        </w:rPr>
        <w:t>„TOURBO – Usmjeravanje mikro, malih i srednjih poduzetnika (MSP-ova) prema digitalnoj i zelenoj tranziciji u turizmu</w:t>
      </w:r>
      <w:r>
        <w:rPr>
          <w:rFonts w:ascii="Times New Roman" w:eastAsia="Calibri" w:hAnsi="Times New Roman" w:cs="Times New Roman"/>
          <w:b/>
          <w:bCs/>
          <w:sz w:val="24"/>
          <w:szCs w:val="24"/>
          <w:lang w:eastAsia="ar-SA"/>
        </w:rPr>
        <w:t>“</w:t>
      </w:r>
    </w:p>
    <w:p w14:paraId="435E0F4E"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Korisnik projekta: </w:t>
      </w:r>
      <w:r w:rsidRPr="00EE706A">
        <w:rPr>
          <w:rFonts w:ascii="Times New Roman" w:eastAsia="Calibri" w:hAnsi="Times New Roman" w:cs="Times New Roman"/>
          <w:sz w:val="24"/>
          <w:szCs w:val="24"/>
          <w:lang w:eastAsia="ar-SA"/>
        </w:rPr>
        <w:t>Gospodarska komora za industriju i navigaciju Sevilla (Španjolska)</w:t>
      </w:r>
    </w:p>
    <w:p w14:paraId="0A7DF8AF"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Projektni partneri:</w:t>
      </w:r>
      <w:r w:rsidRPr="00EE706A">
        <w:rPr>
          <w:rFonts w:ascii="Times New Roman" w:eastAsia="Calibri" w:hAnsi="Times New Roman" w:cs="Times New Roman"/>
          <w:sz w:val="24"/>
          <w:szCs w:val="24"/>
          <w:lang w:eastAsia="ar-SA"/>
        </w:rPr>
        <w:t> Laponsko sveučilište primijenjenih znanosti (Finska), Trgovačka i industrijska komora Vratsa (Bugarska), Regionalna razvojna agencija regije Marche (Italija), Eloris – Tvrtka za istraživanje, obrazovanje, inovacije i razvoj regije Sjeverni Egej (Grčka), Experience Bremerhaven – tvrtka za turistički marketing i događanja (Njemačka), Vijeće okruga Donegal (Irska), Regionalno Vijeće Drač (Albanija) i Razvojna agencija PORA KKŽ (Hrvatska).</w:t>
      </w:r>
    </w:p>
    <w:p w14:paraId="1DBA00C8" w14:textId="73BA7112"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Trajanje projekta: </w:t>
      </w:r>
      <w:r w:rsidRPr="00EE706A">
        <w:rPr>
          <w:rFonts w:ascii="Times New Roman" w:eastAsia="Calibri" w:hAnsi="Times New Roman" w:cs="Times New Roman"/>
          <w:sz w:val="24"/>
          <w:szCs w:val="24"/>
          <w:lang w:eastAsia="ar-SA"/>
        </w:rPr>
        <w:t>01.</w:t>
      </w:r>
      <w:r w:rsidR="00501255">
        <w:rPr>
          <w:rFonts w:ascii="Times New Roman" w:eastAsia="Calibri" w:hAnsi="Times New Roman" w:cs="Times New Roman"/>
          <w:sz w:val="24"/>
          <w:szCs w:val="24"/>
          <w:lang w:eastAsia="ar-SA"/>
        </w:rPr>
        <w:t xml:space="preserve"> ožujka </w:t>
      </w:r>
      <w:r w:rsidRPr="00EE706A">
        <w:rPr>
          <w:rFonts w:ascii="Times New Roman" w:eastAsia="Calibri" w:hAnsi="Times New Roman" w:cs="Times New Roman"/>
          <w:sz w:val="24"/>
          <w:szCs w:val="24"/>
          <w:lang w:eastAsia="ar-SA"/>
        </w:rPr>
        <w:t>2023. – 31.</w:t>
      </w:r>
      <w:r w:rsidR="00501255">
        <w:rPr>
          <w:rFonts w:ascii="Times New Roman" w:eastAsia="Calibri" w:hAnsi="Times New Roman" w:cs="Times New Roman"/>
          <w:sz w:val="24"/>
          <w:szCs w:val="24"/>
          <w:lang w:eastAsia="ar-SA"/>
        </w:rPr>
        <w:t xml:space="preserve"> svibnja </w:t>
      </w:r>
      <w:r w:rsidRPr="00EE706A">
        <w:rPr>
          <w:rFonts w:ascii="Times New Roman" w:eastAsia="Calibri" w:hAnsi="Times New Roman" w:cs="Times New Roman"/>
          <w:sz w:val="24"/>
          <w:szCs w:val="24"/>
          <w:lang w:eastAsia="ar-SA"/>
        </w:rPr>
        <w:t>2027.</w:t>
      </w:r>
    </w:p>
    <w:p w14:paraId="03BCBCC5"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Ukupna vrijednost projekta: </w:t>
      </w:r>
      <w:r w:rsidRPr="00EE706A">
        <w:rPr>
          <w:rFonts w:ascii="Times New Roman" w:eastAsia="Calibri" w:hAnsi="Times New Roman" w:cs="Times New Roman"/>
          <w:sz w:val="24"/>
          <w:szCs w:val="24"/>
          <w:lang w:eastAsia="ar-SA"/>
        </w:rPr>
        <w:t>2.054.707,00 EUR.</w:t>
      </w:r>
    </w:p>
    <w:p w14:paraId="7AA2894F" w14:textId="77777777" w:rsidR="000C5685"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Udio PORE u projektu:</w:t>
      </w:r>
      <w:r w:rsidRPr="00EE706A">
        <w:rPr>
          <w:rFonts w:ascii="Times New Roman" w:eastAsia="Calibri" w:hAnsi="Times New Roman" w:cs="Times New Roman"/>
          <w:sz w:val="24"/>
          <w:szCs w:val="24"/>
          <w:lang w:eastAsia="ar-SA"/>
        </w:rPr>
        <w:t> 186.000,00 EUR.</w:t>
      </w:r>
    </w:p>
    <w:p w14:paraId="487AA14C" w14:textId="77777777" w:rsidR="000C5685" w:rsidRPr="00EE706A" w:rsidRDefault="000C5685" w:rsidP="000C5685">
      <w:pPr>
        <w:suppressAutoHyphens/>
        <w:spacing w:after="0" w:line="240" w:lineRule="auto"/>
        <w:jc w:val="both"/>
        <w:rPr>
          <w:rFonts w:ascii="Times New Roman" w:eastAsia="Calibri" w:hAnsi="Times New Roman" w:cs="Times New Roman"/>
          <w:b/>
          <w:bCs/>
          <w:sz w:val="24"/>
          <w:szCs w:val="24"/>
          <w:lang w:eastAsia="ar-SA"/>
        </w:rPr>
      </w:pPr>
      <w:r w:rsidRPr="00EE706A">
        <w:rPr>
          <w:rFonts w:ascii="Times New Roman" w:eastAsia="Calibri" w:hAnsi="Times New Roman" w:cs="Times New Roman"/>
          <w:b/>
          <w:bCs/>
          <w:sz w:val="24"/>
          <w:szCs w:val="24"/>
          <w:lang w:eastAsia="ar-SA"/>
        </w:rPr>
        <w:t xml:space="preserve">Izvor financiranja: </w:t>
      </w:r>
      <w:r>
        <w:rPr>
          <w:rFonts w:ascii="Times New Roman" w:eastAsia="Calibri" w:hAnsi="Times New Roman" w:cs="Times New Roman"/>
          <w:b/>
          <w:bCs/>
          <w:sz w:val="24"/>
          <w:szCs w:val="24"/>
          <w:lang w:eastAsia="ar-SA"/>
        </w:rPr>
        <w:t xml:space="preserve"> </w:t>
      </w:r>
      <w:r w:rsidRPr="00EE706A">
        <w:rPr>
          <w:rFonts w:ascii="Times New Roman" w:eastAsia="Calibri" w:hAnsi="Times New Roman" w:cs="Times New Roman"/>
          <w:sz w:val="24"/>
          <w:szCs w:val="24"/>
          <w:lang w:eastAsia="ar-SA"/>
        </w:rPr>
        <w:t>Europski fond za regionalni razvoj</w:t>
      </w:r>
    </w:p>
    <w:p w14:paraId="238AB55B"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Sufinanciranje od strane EU:</w:t>
      </w:r>
      <w:r w:rsidRPr="00EE706A">
        <w:rPr>
          <w:rFonts w:ascii="Times New Roman" w:eastAsia="Calibri" w:hAnsi="Times New Roman" w:cs="Times New Roman"/>
          <w:sz w:val="24"/>
          <w:szCs w:val="24"/>
          <w:lang w:eastAsia="ar-SA"/>
        </w:rPr>
        <w:t> 80%</w:t>
      </w:r>
    </w:p>
    <w:p w14:paraId="1B5C283F" w14:textId="77777777" w:rsidR="000C5685" w:rsidRPr="00EE706A" w:rsidRDefault="000C5685" w:rsidP="000C5685">
      <w:pPr>
        <w:suppressAutoHyphens/>
        <w:spacing w:after="0" w:line="240" w:lineRule="auto"/>
        <w:jc w:val="both"/>
        <w:rPr>
          <w:rFonts w:ascii="Times New Roman" w:eastAsia="Calibri" w:hAnsi="Times New Roman" w:cs="Times New Roman"/>
          <w:sz w:val="24"/>
          <w:szCs w:val="24"/>
          <w:lang w:eastAsia="ar-SA"/>
        </w:rPr>
      </w:pPr>
      <w:r w:rsidRPr="00EE706A">
        <w:rPr>
          <w:rFonts w:ascii="Times New Roman" w:eastAsia="Calibri" w:hAnsi="Times New Roman" w:cs="Times New Roman"/>
          <w:b/>
          <w:bCs/>
          <w:sz w:val="24"/>
          <w:szCs w:val="24"/>
          <w:lang w:eastAsia="ar-SA"/>
        </w:rPr>
        <w:t>Glavna svrha projekta</w:t>
      </w:r>
      <w:r w:rsidRPr="00EE706A">
        <w:rPr>
          <w:rFonts w:ascii="Times New Roman" w:eastAsia="Calibri" w:hAnsi="Times New Roman" w:cs="Times New Roman"/>
          <w:sz w:val="24"/>
          <w:szCs w:val="24"/>
          <w:lang w:eastAsia="ar-SA"/>
        </w:rPr>
        <w:t xml:space="preserve"> je pristupom quadruple helix modela odnosno umrežavanjem privatnog, javnog, civilnog i znanstveno – istraživačkog sektora identificirati i razmijeniti primjere dobre prakse projektnih partnera kako bi se doprinijelo digitalnoj i zelenoj tranziciji </w:t>
      </w:r>
      <w:r w:rsidRPr="00EE706A">
        <w:rPr>
          <w:rFonts w:ascii="Times New Roman" w:eastAsia="Calibri" w:hAnsi="Times New Roman" w:cs="Times New Roman"/>
          <w:sz w:val="24"/>
          <w:szCs w:val="24"/>
          <w:lang w:eastAsia="ar-SA"/>
        </w:rPr>
        <w:lastRenderedPageBreak/>
        <w:t>MMSP-ova u turizmu te stvorio održiv i progresivan okvir za integraciju otpornog turističkog sektora u lokalne i regionalne politike.</w:t>
      </w:r>
    </w:p>
    <w:p w14:paraId="1A106A10" w14:textId="77777777" w:rsidR="000C5685" w:rsidRDefault="000C5685" w:rsidP="000C5685">
      <w:pPr>
        <w:suppressAutoHyphens/>
        <w:spacing w:after="0" w:line="240" w:lineRule="auto"/>
        <w:jc w:val="both"/>
        <w:rPr>
          <w:rFonts w:ascii="Times New Roman" w:eastAsia="Calibri" w:hAnsi="Times New Roman" w:cs="Times New Roman"/>
          <w:sz w:val="24"/>
          <w:szCs w:val="24"/>
          <w:lang w:eastAsia="ar-SA"/>
        </w:rPr>
      </w:pPr>
    </w:p>
    <w:p w14:paraId="02C1967F" w14:textId="77777777" w:rsidR="000C5685" w:rsidRPr="00EE706A" w:rsidRDefault="000C5685" w:rsidP="000C5685">
      <w:pPr>
        <w:suppressAutoHyphens/>
        <w:spacing w:after="0" w:line="240" w:lineRule="auto"/>
        <w:jc w:val="both"/>
        <w:rPr>
          <w:rFonts w:ascii="Times New Roman" w:eastAsia="Calibri" w:hAnsi="Times New Roman" w:cs="Times New Roman"/>
          <w:b/>
          <w:bCs/>
          <w:sz w:val="24"/>
          <w:szCs w:val="24"/>
          <w:lang w:eastAsia="ar-SA"/>
        </w:rPr>
      </w:pPr>
      <w:r w:rsidRPr="00EE706A">
        <w:rPr>
          <w:rFonts w:ascii="Times New Roman" w:eastAsia="Calibri" w:hAnsi="Times New Roman" w:cs="Times New Roman"/>
          <w:b/>
          <w:bCs/>
          <w:sz w:val="24"/>
          <w:szCs w:val="24"/>
          <w:lang w:eastAsia="ar-SA"/>
        </w:rPr>
        <w:t>Projekt „BFc – BioFarms Cluster“</w:t>
      </w:r>
    </w:p>
    <w:p w14:paraId="57B73FD5" w14:textId="77777777" w:rsidR="000C5685" w:rsidRPr="00EE706A" w:rsidRDefault="000C5685" w:rsidP="000C5685">
      <w:pPr>
        <w:shd w:val="clear" w:color="auto" w:fill="FFFFFF"/>
        <w:spacing w:after="0" w:line="240" w:lineRule="auto"/>
        <w:rPr>
          <w:rFonts w:ascii="Times New Roman" w:eastAsia="Times New Roman" w:hAnsi="Times New Roman" w:cs="Times New Roman"/>
          <w:color w:val="575757"/>
          <w:sz w:val="24"/>
          <w:szCs w:val="24"/>
          <w:lang w:eastAsia="hr-HR"/>
        </w:rPr>
      </w:pPr>
      <w:r w:rsidRPr="00EE706A">
        <w:rPr>
          <w:rFonts w:ascii="Times New Roman" w:eastAsia="Times New Roman" w:hAnsi="Times New Roman" w:cs="Times New Roman"/>
          <w:b/>
          <w:bCs/>
          <w:color w:val="333333"/>
          <w:sz w:val="24"/>
          <w:szCs w:val="24"/>
          <w:lang w:eastAsia="hr-HR"/>
        </w:rPr>
        <w:t>Korisnik projekta:</w:t>
      </w:r>
      <w:r w:rsidRPr="00EE706A">
        <w:rPr>
          <w:rFonts w:ascii="Times New Roman" w:eastAsia="Times New Roman" w:hAnsi="Times New Roman" w:cs="Times New Roman"/>
          <w:color w:val="333333"/>
          <w:sz w:val="24"/>
          <w:szCs w:val="24"/>
          <w:lang w:eastAsia="hr-HR"/>
        </w:rPr>
        <w:t> Sveučilište Magna Graecia (Italija)</w:t>
      </w:r>
    </w:p>
    <w:p w14:paraId="2C18A2FA" w14:textId="08C36277" w:rsidR="000C5685" w:rsidRDefault="000C5685" w:rsidP="000C5685">
      <w:pPr>
        <w:shd w:val="clear" w:color="auto" w:fill="FFFFFF"/>
        <w:spacing w:after="0" w:line="240" w:lineRule="auto"/>
        <w:jc w:val="both"/>
        <w:rPr>
          <w:rFonts w:ascii="Times New Roman" w:eastAsia="Times New Roman" w:hAnsi="Times New Roman" w:cs="Times New Roman"/>
          <w:color w:val="333333"/>
          <w:sz w:val="24"/>
          <w:szCs w:val="24"/>
          <w:lang w:eastAsia="hr-HR"/>
        </w:rPr>
      </w:pPr>
      <w:r w:rsidRPr="00EE706A">
        <w:rPr>
          <w:rFonts w:ascii="Times New Roman" w:eastAsia="Times New Roman" w:hAnsi="Times New Roman" w:cs="Times New Roman"/>
          <w:b/>
          <w:bCs/>
          <w:color w:val="333333"/>
          <w:sz w:val="24"/>
          <w:szCs w:val="24"/>
          <w:lang w:eastAsia="hr-HR"/>
        </w:rPr>
        <w:t>Projektni partneri:</w:t>
      </w:r>
      <w:r w:rsidRPr="00EE706A">
        <w:rPr>
          <w:rFonts w:ascii="Times New Roman" w:eastAsia="Times New Roman" w:hAnsi="Times New Roman" w:cs="Times New Roman"/>
          <w:color w:val="333333"/>
          <w:sz w:val="24"/>
          <w:szCs w:val="24"/>
          <w:lang w:eastAsia="hr-HR"/>
        </w:rPr>
        <w:t xml:space="preserve"> GOEL socijalna zadruga (Italija), Veleučilište u Križevcima (Hrvatska), Gospodarska komora Slovenije, Regionalna agencija za ekonomski razvoj Šumadije i Pomoravlja (Srbija), Udruženje </w:t>
      </w:r>
      <w:r w:rsidR="00501255">
        <w:rPr>
          <w:rFonts w:ascii="Times New Roman" w:eastAsia="Times New Roman" w:hAnsi="Times New Roman" w:cs="Times New Roman"/>
          <w:color w:val="333333"/>
          <w:sz w:val="24"/>
          <w:szCs w:val="24"/>
          <w:lang w:eastAsia="hr-HR"/>
        </w:rPr>
        <w:t>„</w:t>
      </w:r>
      <w:r w:rsidRPr="00EE706A">
        <w:rPr>
          <w:rFonts w:ascii="Times New Roman" w:eastAsia="Times New Roman" w:hAnsi="Times New Roman" w:cs="Times New Roman"/>
          <w:color w:val="333333"/>
          <w:sz w:val="24"/>
          <w:szCs w:val="24"/>
          <w:lang w:eastAsia="hr-HR"/>
        </w:rPr>
        <w:t>Digitalni proizvodni laboratorij” – FabLab (BiH), Tvornica I.K.E. (Grčka), Agencija za održivi razvoj (Albanija) i Razvojna agencija PORA KKŽ (Hrvatska).</w:t>
      </w:r>
    </w:p>
    <w:p w14:paraId="48311E12" w14:textId="78FE3968" w:rsidR="000C5685" w:rsidRPr="00EE706A" w:rsidRDefault="000C5685" w:rsidP="000C5685">
      <w:pPr>
        <w:shd w:val="clear" w:color="auto" w:fill="FFFFFF"/>
        <w:spacing w:after="0" w:line="240" w:lineRule="auto"/>
        <w:rPr>
          <w:rFonts w:ascii="Times New Roman" w:eastAsia="Times New Roman" w:hAnsi="Times New Roman" w:cs="Times New Roman"/>
          <w:color w:val="575757"/>
          <w:sz w:val="24"/>
          <w:szCs w:val="24"/>
          <w:lang w:eastAsia="hr-HR"/>
        </w:rPr>
      </w:pPr>
      <w:r w:rsidRPr="00EE706A">
        <w:rPr>
          <w:rFonts w:ascii="Times New Roman" w:eastAsia="Times New Roman" w:hAnsi="Times New Roman" w:cs="Times New Roman"/>
          <w:b/>
          <w:bCs/>
          <w:color w:val="333333"/>
          <w:sz w:val="24"/>
          <w:szCs w:val="24"/>
          <w:lang w:eastAsia="hr-HR"/>
        </w:rPr>
        <w:t>Trajanje projekta:</w:t>
      </w:r>
      <w:r w:rsidRPr="00EE706A">
        <w:rPr>
          <w:rFonts w:ascii="Times New Roman" w:eastAsia="Times New Roman" w:hAnsi="Times New Roman" w:cs="Times New Roman"/>
          <w:color w:val="333333"/>
          <w:sz w:val="24"/>
          <w:szCs w:val="24"/>
          <w:lang w:eastAsia="hr-HR"/>
        </w:rPr>
        <w:t> 01.</w:t>
      </w:r>
      <w:r w:rsidR="00501255">
        <w:rPr>
          <w:rFonts w:ascii="Times New Roman" w:eastAsia="Times New Roman" w:hAnsi="Times New Roman" w:cs="Times New Roman"/>
          <w:color w:val="333333"/>
          <w:sz w:val="24"/>
          <w:szCs w:val="24"/>
          <w:lang w:eastAsia="hr-HR"/>
        </w:rPr>
        <w:t xml:space="preserve"> rujna </w:t>
      </w:r>
      <w:r w:rsidRPr="00EE706A">
        <w:rPr>
          <w:rFonts w:ascii="Times New Roman" w:eastAsia="Times New Roman" w:hAnsi="Times New Roman" w:cs="Times New Roman"/>
          <w:color w:val="333333"/>
          <w:sz w:val="24"/>
          <w:szCs w:val="24"/>
          <w:lang w:eastAsia="hr-HR"/>
        </w:rPr>
        <w:t>2024. – 31.</w:t>
      </w:r>
      <w:r w:rsidR="00501255">
        <w:rPr>
          <w:rFonts w:ascii="Times New Roman" w:eastAsia="Times New Roman" w:hAnsi="Times New Roman" w:cs="Times New Roman"/>
          <w:color w:val="333333"/>
          <w:sz w:val="24"/>
          <w:szCs w:val="24"/>
          <w:lang w:eastAsia="hr-HR"/>
        </w:rPr>
        <w:t xml:space="preserve"> kolovoza </w:t>
      </w:r>
      <w:r w:rsidRPr="00EE706A">
        <w:rPr>
          <w:rFonts w:ascii="Times New Roman" w:eastAsia="Times New Roman" w:hAnsi="Times New Roman" w:cs="Times New Roman"/>
          <w:color w:val="333333"/>
          <w:sz w:val="24"/>
          <w:szCs w:val="24"/>
          <w:lang w:eastAsia="hr-HR"/>
        </w:rPr>
        <w:t>2027.</w:t>
      </w:r>
    </w:p>
    <w:p w14:paraId="1F5B7CCC" w14:textId="77777777" w:rsidR="000C5685" w:rsidRPr="00EE706A" w:rsidRDefault="000C5685" w:rsidP="000C5685">
      <w:pPr>
        <w:shd w:val="clear" w:color="auto" w:fill="FFFFFF"/>
        <w:spacing w:after="0" w:line="240" w:lineRule="auto"/>
        <w:rPr>
          <w:rFonts w:ascii="Times New Roman" w:eastAsia="Times New Roman" w:hAnsi="Times New Roman" w:cs="Times New Roman"/>
          <w:color w:val="575757"/>
          <w:sz w:val="24"/>
          <w:szCs w:val="24"/>
          <w:lang w:eastAsia="hr-HR"/>
        </w:rPr>
      </w:pPr>
      <w:r w:rsidRPr="00EE706A">
        <w:rPr>
          <w:rFonts w:ascii="Times New Roman" w:eastAsia="Times New Roman" w:hAnsi="Times New Roman" w:cs="Times New Roman"/>
          <w:b/>
          <w:bCs/>
          <w:color w:val="333333"/>
          <w:sz w:val="24"/>
          <w:szCs w:val="24"/>
          <w:lang w:eastAsia="hr-HR"/>
        </w:rPr>
        <w:t>Ukupna vrijednost projekta:</w:t>
      </w:r>
      <w:r w:rsidRPr="00EE706A">
        <w:rPr>
          <w:rFonts w:ascii="Times New Roman" w:eastAsia="Times New Roman" w:hAnsi="Times New Roman" w:cs="Times New Roman"/>
          <w:color w:val="333333"/>
          <w:sz w:val="24"/>
          <w:szCs w:val="24"/>
          <w:lang w:eastAsia="hr-HR"/>
        </w:rPr>
        <w:t> 1.300.931,80 EUR.</w:t>
      </w:r>
    </w:p>
    <w:p w14:paraId="13CF52F0" w14:textId="77777777" w:rsidR="000C5685" w:rsidRPr="00EE706A" w:rsidRDefault="000C5685" w:rsidP="000C5685">
      <w:pPr>
        <w:shd w:val="clear" w:color="auto" w:fill="FFFFFF"/>
        <w:spacing w:after="0" w:line="240" w:lineRule="auto"/>
        <w:rPr>
          <w:rFonts w:ascii="Times New Roman" w:eastAsia="Times New Roman" w:hAnsi="Times New Roman" w:cs="Times New Roman"/>
          <w:color w:val="575757"/>
          <w:sz w:val="24"/>
          <w:szCs w:val="24"/>
          <w:lang w:eastAsia="hr-HR"/>
        </w:rPr>
      </w:pPr>
      <w:r w:rsidRPr="00EE706A">
        <w:rPr>
          <w:rFonts w:ascii="Times New Roman" w:eastAsia="Times New Roman" w:hAnsi="Times New Roman" w:cs="Times New Roman"/>
          <w:b/>
          <w:bCs/>
          <w:color w:val="333333"/>
          <w:sz w:val="24"/>
          <w:szCs w:val="24"/>
          <w:lang w:eastAsia="hr-HR"/>
        </w:rPr>
        <w:t>Sredstva INTERREG-a:</w:t>
      </w:r>
      <w:r w:rsidRPr="00EE706A">
        <w:rPr>
          <w:rFonts w:ascii="Times New Roman" w:eastAsia="Times New Roman" w:hAnsi="Times New Roman" w:cs="Times New Roman"/>
          <w:color w:val="333333"/>
          <w:sz w:val="24"/>
          <w:szCs w:val="24"/>
          <w:lang w:eastAsia="hr-HR"/>
        </w:rPr>
        <w:t> </w:t>
      </w:r>
      <w:r w:rsidRPr="00EE706A">
        <w:rPr>
          <w:rFonts w:ascii="Times New Roman" w:eastAsia="Times New Roman" w:hAnsi="Times New Roman" w:cs="Times New Roman"/>
          <w:color w:val="575757"/>
          <w:sz w:val="24"/>
          <w:szCs w:val="24"/>
          <w:lang w:eastAsia="hr-HR"/>
        </w:rPr>
        <w:t>1.105.792,03 EUR.</w:t>
      </w:r>
    </w:p>
    <w:p w14:paraId="13AD76D7" w14:textId="77777777" w:rsidR="000C5685" w:rsidRDefault="000C5685" w:rsidP="000C5685">
      <w:pPr>
        <w:shd w:val="clear" w:color="auto" w:fill="FFFFFF"/>
        <w:spacing w:after="0" w:line="240" w:lineRule="auto"/>
        <w:rPr>
          <w:rFonts w:ascii="Times New Roman" w:eastAsia="Times New Roman" w:hAnsi="Times New Roman" w:cs="Times New Roman"/>
          <w:color w:val="333333"/>
          <w:sz w:val="24"/>
          <w:szCs w:val="24"/>
          <w:lang w:eastAsia="hr-HR"/>
        </w:rPr>
      </w:pPr>
      <w:r w:rsidRPr="00EE706A">
        <w:rPr>
          <w:rFonts w:ascii="Times New Roman" w:eastAsia="Times New Roman" w:hAnsi="Times New Roman" w:cs="Times New Roman"/>
          <w:b/>
          <w:bCs/>
          <w:color w:val="333333"/>
          <w:sz w:val="24"/>
          <w:szCs w:val="24"/>
          <w:lang w:eastAsia="hr-HR"/>
        </w:rPr>
        <w:t>Udio PORE u projektu</w:t>
      </w:r>
      <w:r w:rsidRPr="00EE706A">
        <w:rPr>
          <w:rFonts w:ascii="Times New Roman" w:eastAsia="Times New Roman" w:hAnsi="Times New Roman" w:cs="Times New Roman"/>
          <w:color w:val="333333"/>
          <w:sz w:val="24"/>
          <w:szCs w:val="24"/>
          <w:lang w:eastAsia="hr-HR"/>
        </w:rPr>
        <w:t>: 105.828,00 EUR.</w:t>
      </w:r>
    </w:p>
    <w:p w14:paraId="00B4CBAF" w14:textId="77777777" w:rsidR="000C5685" w:rsidRPr="00EE706A" w:rsidRDefault="000C5685" w:rsidP="000C5685">
      <w:pPr>
        <w:suppressAutoHyphens/>
        <w:spacing w:after="0" w:line="240" w:lineRule="auto"/>
        <w:jc w:val="both"/>
        <w:rPr>
          <w:rFonts w:ascii="Times New Roman" w:eastAsia="Calibri" w:hAnsi="Times New Roman" w:cs="Times New Roman"/>
          <w:b/>
          <w:bCs/>
          <w:sz w:val="24"/>
          <w:szCs w:val="24"/>
          <w:lang w:eastAsia="ar-SA"/>
        </w:rPr>
      </w:pPr>
      <w:r w:rsidRPr="00EE706A">
        <w:rPr>
          <w:rFonts w:ascii="Times New Roman" w:eastAsia="Calibri" w:hAnsi="Times New Roman" w:cs="Times New Roman"/>
          <w:b/>
          <w:bCs/>
          <w:sz w:val="24"/>
          <w:szCs w:val="24"/>
          <w:lang w:eastAsia="ar-SA"/>
        </w:rPr>
        <w:t xml:space="preserve">Izvor financiranja: </w:t>
      </w:r>
      <w:r>
        <w:rPr>
          <w:rFonts w:ascii="Times New Roman" w:eastAsia="Calibri" w:hAnsi="Times New Roman" w:cs="Times New Roman"/>
          <w:b/>
          <w:bCs/>
          <w:sz w:val="24"/>
          <w:szCs w:val="24"/>
          <w:lang w:eastAsia="ar-SA"/>
        </w:rPr>
        <w:t xml:space="preserve"> </w:t>
      </w:r>
      <w:r w:rsidRPr="00EE706A">
        <w:rPr>
          <w:rFonts w:ascii="Times New Roman" w:eastAsia="Calibri" w:hAnsi="Times New Roman" w:cs="Times New Roman"/>
          <w:sz w:val="24"/>
          <w:szCs w:val="24"/>
          <w:lang w:eastAsia="ar-SA"/>
        </w:rPr>
        <w:t>Europski fond za regionalni razvoj</w:t>
      </w:r>
    </w:p>
    <w:p w14:paraId="32F6A72E" w14:textId="77777777" w:rsidR="000C5685" w:rsidRPr="00EE706A" w:rsidRDefault="000C5685" w:rsidP="000C5685">
      <w:pPr>
        <w:shd w:val="clear" w:color="auto" w:fill="FFFFFF"/>
        <w:spacing w:after="0" w:line="240" w:lineRule="auto"/>
        <w:rPr>
          <w:rFonts w:ascii="Times New Roman" w:eastAsia="Times New Roman" w:hAnsi="Times New Roman" w:cs="Times New Roman"/>
          <w:color w:val="575757"/>
          <w:sz w:val="24"/>
          <w:szCs w:val="24"/>
          <w:lang w:eastAsia="hr-HR"/>
        </w:rPr>
      </w:pPr>
      <w:r w:rsidRPr="00EE706A">
        <w:rPr>
          <w:rFonts w:ascii="Times New Roman" w:eastAsia="Times New Roman" w:hAnsi="Times New Roman" w:cs="Times New Roman"/>
          <w:b/>
          <w:bCs/>
          <w:color w:val="333333"/>
          <w:sz w:val="24"/>
          <w:szCs w:val="24"/>
          <w:lang w:eastAsia="hr-HR"/>
        </w:rPr>
        <w:t>Sufinanciranje od strane EU</w:t>
      </w:r>
      <w:r w:rsidRPr="00EE706A">
        <w:rPr>
          <w:rFonts w:ascii="Times New Roman" w:eastAsia="Times New Roman" w:hAnsi="Times New Roman" w:cs="Times New Roman"/>
          <w:color w:val="333333"/>
          <w:sz w:val="24"/>
          <w:szCs w:val="24"/>
          <w:lang w:eastAsia="hr-HR"/>
        </w:rPr>
        <w:t>: 85%.</w:t>
      </w:r>
    </w:p>
    <w:p w14:paraId="3B7868CD" w14:textId="77777777" w:rsidR="000C5685" w:rsidRPr="00EE706A" w:rsidRDefault="000C5685" w:rsidP="00A10286">
      <w:pPr>
        <w:shd w:val="clear" w:color="auto" w:fill="FFFFFF"/>
        <w:spacing w:after="0" w:line="240" w:lineRule="auto"/>
        <w:jc w:val="both"/>
        <w:rPr>
          <w:rFonts w:ascii="Times New Roman" w:eastAsia="Times New Roman" w:hAnsi="Times New Roman" w:cs="Times New Roman"/>
          <w:color w:val="575757"/>
          <w:sz w:val="24"/>
          <w:szCs w:val="24"/>
          <w:lang w:eastAsia="hr-HR"/>
        </w:rPr>
      </w:pPr>
      <w:r w:rsidRPr="00EE706A">
        <w:rPr>
          <w:rFonts w:ascii="Times New Roman" w:eastAsia="Times New Roman" w:hAnsi="Times New Roman" w:cs="Times New Roman"/>
          <w:color w:val="333333"/>
          <w:sz w:val="24"/>
          <w:szCs w:val="24"/>
          <w:lang w:eastAsia="hr-HR"/>
        </w:rPr>
        <w:t>Glavna svrha projekta je podržati razvoj transnacionalnog i makroregionalnog klastera u biofarmaceutskom i nutricionističkom sektoru baziranom na Strategiji pametne specijalizacije i Quadruple helix modelu (umrežavanjem sveučilišta u području biofarmaceutike, poduzetnika iz farmaceutske industrije, obiteljskih poljoprivrednih gospodarstva iz biljnog sektora, civilnog sektora i ostalih dionika koji mogu doprinijeti njegovom razvoju).</w:t>
      </w:r>
    </w:p>
    <w:p w14:paraId="155964B1" w14:textId="77777777" w:rsidR="000C5685" w:rsidRDefault="000C5685" w:rsidP="000C5685">
      <w:pPr>
        <w:spacing w:after="0" w:line="240" w:lineRule="auto"/>
        <w:jc w:val="both"/>
        <w:rPr>
          <w:rFonts w:ascii="Times New Roman" w:hAnsi="Times New Roman" w:cs="Times New Roman"/>
          <w:sz w:val="24"/>
          <w:szCs w:val="24"/>
        </w:rPr>
      </w:pPr>
    </w:p>
    <w:p w14:paraId="21789ECA" w14:textId="2AA3E5F3"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Danube Region Wood Industry Transformation Model towards Industry 4.0 - DRWO4.0</w:t>
      </w:r>
      <w:r w:rsidRPr="002A3AD1">
        <w:rPr>
          <w:rFonts w:ascii="Times New Roman" w:hAnsi="Times New Roman" w:cs="Times New Roman"/>
          <w:b/>
          <w:bCs/>
          <w:sz w:val="24"/>
          <w:szCs w:val="24"/>
        </w:rPr>
        <w:t xml:space="preserve"> </w:t>
      </w:r>
      <w:r>
        <w:rPr>
          <w:rFonts w:ascii="Times New Roman" w:hAnsi="Times New Roman" w:cs="Times New Roman"/>
          <w:b/>
          <w:bCs/>
          <w:sz w:val="24"/>
          <w:szCs w:val="24"/>
        </w:rPr>
        <w:t>Vodeći partner</w:t>
      </w:r>
      <w:r w:rsidR="00554CF3">
        <w:rPr>
          <w:rFonts w:ascii="Times New Roman" w:hAnsi="Times New Roman" w:cs="Times New Roman"/>
          <w:b/>
          <w:bCs/>
          <w:sz w:val="24"/>
          <w:szCs w:val="24"/>
        </w:rPr>
        <w:t>:</w:t>
      </w:r>
      <w:r>
        <w:rPr>
          <w:rFonts w:ascii="Times New Roman" w:hAnsi="Times New Roman" w:cs="Times New Roman"/>
          <w:sz w:val="24"/>
          <w:szCs w:val="24"/>
        </w:rPr>
        <w:t xml:space="preserve"> Centar kompetencija d.o.o. za istraživanje i razvoj, Hrvatska.</w:t>
      </w:r>
    </w:p>
    <w:p w14:paraId="1110AE4E" w14:textId="6CB95CB0"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Projektni partneri: </w:t>
      </w:r>
      <w:r>
        <w:rPr>
          <w:rFonts w:ascii="Times New Roman" w:hAnsi="Times New Roman" w:cs="Times New Roman"/>
          <w:sz w:val="24"/>
          <w:szCs w:val="24"/>
        </w:rPr>
        <w:t>Salzburško sveučilište primijenjenih znanosti Österreich (Austrija), Udruga KO-FA Rumunjska (Rumunjska), Klaster drvne industrije Slovenija (Slovenija), Kulturna udruga centar kompetencija za inovacije (Mađarska), Bugarski klaster (Bugarska), Klaster čeških proizvođača namještaja (Češka), Sveučilište u Beogradu – Šumarski fakultet Srbija (Republika Srbija), Razvojna agencija grada Prijedora „PREDA“ Bosna i Hercegovina (Bosna i Hercegovina), Cahul Poslovni centar Moldavije (Moldavija), Culmena d.o.o. (Hrvatska), Fakultet inženjerstva i informacijske tehnologije (Mađarska), Agencija za održivi razvoj Karpatske regije Ukrajina (Ukrajina), Fakultet za dizajn, samostalna visokoškolska ustanova Slovenija (Slovenija).</w:t>
      </w:r>
    </w:p>
    <w:p w14:paraId="47FB9684" w14:textId="21B91F4C"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Trajanje projekta</w:t>
      </w:r>
      <w:r>
        <w:rPr>
          <w:rFonts w:ascii="Times New Roman" w:hAnsi="Times New Roman" w:cs="Times New Roman"/>
          <w:sz w:val="24"/>
          <w:szCs w:val="24"/>
        </w:rPr>
        <w:t>: 01.</w:t>
      </w:r>
      <w:r w:rsidR="00554CF3">
        <w:rPr>
          <w:rFonts w:ascii="Times New Roman" w:hAnsi="Times New Roman" w:cs="Times New Roman"/>
          <w:sz w:val="24"/>
          <w:szCs w:val="24"/>
        </w:rPr>
        <w:t xml:space="preserve"> siječnja </w:t>
      </w:r>
      <w:r>
        <w:rPr>
          <w:rFonts w:ascii="Times New Roman" w:hAnsi="Times New Roman" w:cs="Times New Roman"/>
          <w:sz w:val="24"/>
          <w:szCs w:val="24"/>
        </w:rPr>
        <w:t>2024.</w:t>
      </w:r>
      <w:r w:rsidR="00554CF3">
        <w:rPr>
          <w:rFonts w:ascii="Times New Roman" w:hAnsi="Times New Roman" w:cs="Times New Roman"/>
          <w:sz w:val="24"/>
          <w:szCs w:val="24"/>
        </w:rPr>
        <w:t xml:space="preserve"> </w:t>
      </w:r>
      <w:r>
        <w:rPr>
          <w:rFonts w:ascii="Times New Roman" w:hAnsi="Times New Roman" w:cs="Times New Roman"/>
          <w:sz w:val="24"/>
          <w:szCs w:val="24"/>
        </w:rPr>
        <w:t>-</w:t>
      </w:r>
      <w:r w:rsidR="00554CF3">
        <w:rPr>
          <w:rFonts w:ascii="Times New Roman" w:hAnsi="Times New Roman" w:cs="Times New Roman"/>
          <w:sz w:val="24"/>
          <w:szCs w:val="24"/>
        </w:rPr>
        <w:t xml:space="preserve"> </w:t>
      </w:r>
      <w:r>
        <w:rPr>
          <w:rFonts w:ascii="Times New Roman" w:hAnsi="Times New Roman" w:cs="Times New Roman"/>
          <w:sz w:val="24"/>
          <w:szCs w:val="24"/>
        </w:rPr>
        <w:t>31.</w:t>
      </w:r>
      <w:r w:rsidR="00554CF3">
        <w:rPr>
          <w:rFonts w:ascii="Times New Roman" w:hAnsi="Times New Roman" w:cs="Times New Roman"/>
          <w:sz w:val="24"/>
          <w:szCs w:val="24"/>
        </w:rPr>
        <w:t xml:space="preserve"> prosinca </w:t>
      </w:r>
      <w:r>
        <w:rPr>
          <w:rFonts w:ascii="Times New Roman" w:hAnsi="Times New Roman" w:cs="Times New Roman"/>
          <w:sz w:val="24"/>
          <w:szCs w:val="24"/>
        </w:rPr>
        <w:t>2025.</w:t>
      </w:r>
    </w:p>
    <w:p w14:paraId="19CA17ED" w14:textId="77777777"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 je odobren</w:t>
      </w:r>
      <w:r>
        <w:rPr>
          <w:rFonts w:ascii="Times New Roman" w:hAnsi="Times New Roman" w:cs="Times New Roman"/>
          <w:sz w:val="24"/>
          <w:szCs w:val="24"/>
        </w:rPr>
        <w:t xml:space="preserve"> u okviru 1. poziva INTERREG Programa dunavske regije 2021.-2027.</w:t>
      </w:r>
    </w:p>
    <w:p w14:paraId="7904ADFE" w14:textId="77777777"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Glavni cilj projekta</w:t>
      </w:r>
      <w:r>
        <w:rPr>
          <w:rFonts w:ascii="Times New Roman" w:hAnsi="Times New Roman" w:cs="Times New Roman"/>
          <w:sz w:val="24"/>
          <w:szCs w:val="24"/>
        </w:rPr>
        <w:t xml:space="preserve"> DRWO4.0 je unaprijediti sektor drvne industrije dunavske regije kroz transformaciju prema industriji 4.0.</w:t>
      </w:r>
    </w:p>
    <w:p w14:paraId="4393F3BE" w14:textId="77777777"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Ukupna vrijednost projekta</w:t>
      </w:r>
      <w:r>
        <w:rPr>
          <w:rFonts w:ascii="Times New Roman" w:hAnsi="Times New Roman" w:cs="Times New Roman"/>
          <w:sz w:val="24"/>
          <w:szCs w:val="24"/>
        </w:rPr>
        <w:t>: 1.946.560,00 EUR.</w:t>
      </w:r>
    </w:p>
    <w:p w14:paraId="1DFA8D47" w14:textId="77777777" w:rsidR="000C5685" w:rsidRDefault="000C5685" w:rsidP="000C56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Razvojna agencija PORA KKŽ</w:t>
      </w:r>
      <w:r>
        <w:rPr>
          <w:rFonts w:ascii="Times New Roman" w:hAnsi="Times New Roman" w:cs="Times New Roman"/>
          <w:sz w:val="24"/>
          <w:szCs w:val="24"/>
        </w:rPr>
        <w:t xml:space="preserve"> je strateški partner bez financijskog udjela.</w:t>
      </w:r>
    </w:p>
    <w:p w14:paraId="300A9AAF" w14:textId="77777777" w:rsidR="000C5685" w:rsidRDefault="000C5685" w:rsidP="000C5685">
      <w:pPr>
        <w:suppressAutoHyphens/>
        <w:spacing w:after="0" w:line="240" w:lineRule="auto"/>
        <w:jc w:val="center"/>
        <w:rPr>
          <w:rFonts w:ascii="Times New Roman" w:eastAsia="Calibri" w:hAnsi="Times New Roman" w:cs="Times New Roman"/>
          <w:sz w:val="24"/>
          <w:szCs w:val="24"/>
          <w:lang w:eastAsia="ar-SA"/>
        </w:rPr>
      </w:pPr>
    </w:p>
    <w:p w14:paraId="21DD06C4" w14:textId="26A3E18C" w:rsidR="000C5685" w:rsidRPr="00E721E2" w:rsidRDefault="000C5685" w:rsidP="000C5685">
      <w:pPr>
        <w:suppressAutoHyphens/>
        <w:spacing w:after="0" w:line="240" w:lineRule="auto"/>
        <w:jc w:val="both"/>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 xml:space="preserve">Specifičnost poslovanja Razvojne agencije PORE KKŽ je u tome što se najvećim dijelom financira iz sredstava EU. Temeljem Pravilnika o proračunskom računovodstvu i računskom planu, primjenjuje se modificirano načelo poslovnog događaja što znači da se rashodi priznaju u trenutku nastanka, a prihodi se priznaju tek kada su </w:t>
      </w:r>
      <w:r w:rsidRPr="00A330D4">
        <w:rPr>
          <w:rFonts w:ascii="Times New Roman" w:eastAsia="Calibri" w:hAnsi="Times New Roman" w:cs="Times New Roman"/>
          <w:sz w:val="24"/>
          <w:szCs w:val="24"/>
          <w:lang w:eastAsia="ar-SA"/>
        </w:rPr>
        <w:t>naplaćeni</w:t>
      </w:r>
      <w:r w:rsidR="00E33D96" w:rsidRPr="00A330D4">
        <w:rPr>
          <w:rFonts w:ascii="Times New Roman" w:eastAsia="Calibri" w:hAnsi="Times New Roman" w:cs="Times New Roman"/>
          <w:sz w:val="24"/>
          <w:szCs w:val="24"/>
          <w:lang w:eastAsia="ar-SA"/>
        </w:rPr>
        <w:t xml:space="preserve"> temeljem odobrenih Zahtjeva za doznaku sredstava u okviru provedbe EU projekata</w:t>
      </w:r>
      <w:r w:rsidRPr="00A330D4">
        <w:rPr>
          <w:rFonts w:ascii="Times New Roman" w:eastAsia="Calibri" w:hAnsi="Times New Roman" w:cs="Times New Roman"/>
          <w:sz w:val="24"/>
          <w:szCs w:val="24"/>
          <w:lang w:eastAsia="ar-SA"/>
        </w:rPr>
        <w:t xml:space="preserve">, </w:t>
      </w:r>
      <w:r w:rsidRPr="00E721E2">
        <w:rPr>
          <w:rFonts w:ascii="Times New Roman" w:eastAsia="Calibri" w:hAnsi="Times New Roman" w:cs="Times New Roman"/>
          <w:sz w:val="24"/>
          <w:szCs w:val="24"/>
          <w:lang w:eastAsia="ar-SA"/>
        </w:rPr>
        <w:t xml:space="preserve">tako </w:t>
      </w:r>
      <w:r w:rsidR="00A330D4">
        <w:rPr>
          <w:rFonts w:ascii="Times New Roman" w:eastAsia="Calibri" w:hAnsi="Times New Roman" w:cs="Times New Roman"/>
          <w:sz w:val="24"/>
          <w:szCs w:val="24"/>
          <w:lang w:eastAsia="ar-SA"/>
        </w:rPr>
        <w:t>da je potrebno</w:t>
      </w:r>
      <w:r w:rsidRPr="00E721E2">
        <w:rPr>
          <w:rFonts w:ascii="Times New Roman" w:eastAsia="Calibri" w:hAnsi="Times New Roman" w:cs="Times New Roman"/>
          <w:sz w:val="24"/>
          <w:szCs w:val="24"/>
          <w:lang w:eastAsia="ar-SA"/>
        </w:rPr>
        <w:t xml:space="preserve"> predfinanciranj</w:t>
      </w:r>
      <w:r w:rsidR="00A330D4">
        <w:rPr>
          <w:rFonts w:ascii="Times New Roman" w:eastAsia="Calibri" w:hAnsi="Times New Roman" w:cs="Times New Roman"/>
          <w:sz w:val="24"/>
          <w:szCs w:val="24"/>
          <w:lang w:eastAsia="ar-SA"/>
        </w:rPr>
        <w:t>e</w:t>
      </w:r>
      <w:r w:rsidRPr="00E721E2">
        <w:rPr>
          <w:rFonts w:ascii="Times New Roman" w:eastAsia="Calibri" w:hAnsi="Times New Roman" w:cs="Times New Roman"/>
          <w:sz w:val="24"/>
          <w:szCs w:val="24"/>
          <w:lang w:eastAsia="ar-SA"/>
        </w:rPr>
        <w:t xml:space="preserve"> provedbe EU projekata od strane Koprivničko-križevačke županije. Od ostvarenih </w:t>
      </w:r>
      <w:r>
        <w:rPr>
          <w:rFonts w:ascii="Times New Roman" w:eastAsia="Calibri" w:hAnsi="Times New Roman" w:cs="Times New Roman"/>
          <w:sz w:val="24"/>
          <w:szCs w:val="24"/>
          <w:lang w:eastAsia="ar-SA"/>
        </w:rPr>
        <w:t>737.</w:t>
      </w:r>
      <w:r w:rsidR="009135B4">
        <w:rPr>
          <w:rFonts w:ascii="Times New Roman" w:eastAsia="Calibri" w:hAnsi="Times New Roman" w:cs="Times New Roman"/>
          <w:sz w:val="24"/>
          <w:szCs w:val="24"/>
          <w:lang w:eastAsia="ar-SA"/>
        </w:rPr>
        <w:t>957,17</w:t>
      </w:r>
      <w:r w:rsidRPr="00E721E2">
        <w:rPr>
          <w:rFonts w:ascii="Times New Roman" w:eastAsia="Calibri" w:hAnsi="Times New Roman" w:cs="Times New Roman"/>
          <w:color w:val="FF0000"/>
          <w:sz w:val="24"/>
          <w:szCs w:val="24"/>
          <w:lang w:eastAsia="ar-SA"/>
        </w:rPr>
        <w:t xml:space="preserve"> </w:t>
      </w:r>
      <w:r w:rsidRPr="00E721E2">
        <w:rPr>
          <w:rFonts w:ascii="Times New Roman" w:eastAsia="Calibri" w:hAnsi="Times New Roman" w:cs="Times New Roman"/>
          <w:sz w:val="24"/>
          <w:szCs w:val="24"/>
          <w:lang w:eastAsia="ar-SA"/>
        </w:rPr>
        <w:t>eura rashoda u 2024. godin</w:t>
      </w:r>
      <w:r w:rsidR="00554CF3">
        <w:rPr>
          <w:rFonts w:ascii="Times New Roman" w:eastAsia="Calibri" w:hAnsi="Times New Roman" w:cs="Times New Roman"/>
          <w:sz w:val="24"/>
          <w:szCs w:val="24"/>
          <w:lang w:eastAsia="ar-SA"/>
        </w:rPr>
        <w:t>i</w:t>
      </w:r>
      <w:r w:rsidRPr="00E721E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520.536,96</w:t>
      </w:r>
      <w:r w:rsidRPr="00E721E2">
        <w:rPr>
          <w:rFonts w:ascii="Times New Roman" w:eastAsia="Calibri" w:hAnsi="Times New Roman" w:cs="Times New Roman"/>
          <w:sz w:val="24"/>
          <w:szCs w:val="24"/>
          <w:lang w:eastAsia="ar-SA"/>
        </w:rPr>
        <w:t xml:space="preserve"> eura ili </w:t>
      </w:r>
      <w:r>
        <w:rPr>
          <w:rFonts w:ascii="Times New Roman" w:eastAsia="Calibri" w:hAnsi="Times New Roman" w:cs="Times New Roman"/>
          <w:sz w:val="24"/>
          <w:szCs w:val="24"/>
          <w:lang w:eastAsia="ar-SA"/>
        </w:rPr>
        <w:t>70,58</w:t>
      </w:r>
      <w:r w:rsidRPr="00E721E2">
        <w:rPr>
          <w:rFonts w:ascii="Times New Roman" w:eastAsia="Calibri" w:hAnsi="Times New Roman" w:cs="Times New Roman"/>
          <w:sz w:val="24"/>
          <w:szCs w:val="24"/>
          <w:lang w:eastAsia="ar-SA"/>
        </w:rPr>
        <w:t xml:space="preserve">% ostvarenih rashoda su iz provedbe aktivnosti po EU projektima (odnosno </w:t>
      </w:r>
      <w:r>
        <w:rPr>
          <w:rFonts w:ascii="Times New Roman" w:eastAsia="Calibri" w:hAnsi="Times New Roman" w:cs="Times New Roman"/>
          <w:sz w:val="24"/>
          <w:szCs w:val="24"/>
          <w:lang w:eastAsia="ar-SA"/>
        </w:rPr>
        <w:t>67.219,28</w:t>
      </w:r>
      <w:r w:rsidRPr="00E721E2">
        <w:rPr>
          <w:rFonts w:ascii="Times New Roman" w:eastAsia="Calibri" w:hAnsi="Times New Roman" w:cs="Times New Roman"/>
          <w:sz w:val="24"/>
          <w:szCs w:val="24"/>
          <w:lang w:eastAsia="ar-SA"/>
        </w:rPr>
        <w:t xml:space="preserve"> eura predstavlja sufinanciranje iz Proračuna Koprivničko-križevačke županije dok su </w:t>
      </w:r>
      <w:r>
        <w:rPr>
          <w:rFonts w:ascii="Times New Roman" w:eastAsia="Calibri" w:hAnsi="Times New Roman" w:cs="Times New Roman"/>
          <w:sz w:val="24"/>
          <w:szCs w:val="24"/>
          <w:lang w:eastAsia="ar-SA"/>
        </w:rPr>
        <w:t>453.317,68</w:t>
      </w:r>
      <w:r w:rsidRPr="00E721E2">
        <w:rPr>
          <w:rFonts w:ascii="Times New Roman" w:eastAsia="Calibri" w:hAnsi="Times New Roman" w:cs="Times New Roman"/>
          <w:sz w:val="24"/>
          <w:szCs w:val="24"/>
          <w:lang w:eastAsia="ar-SA"/>
        </w:rPr>
        <w:t xml:space="preserve"> eura sredstva iz fondova EU). Iz toga </w:t>
      </w:r>
      <w:r w:rsidRPr="00E721E2">
        <w:rPr>
          <w:rFonts w:ascii="Times New Roman" w:eastAsia="Calibri" w:hAnsi="Times New Roman" w:cs="Times New Roman"/>
          <w:sz w:val="24"/>
          <w:szCs w:val="24"/>
          <w:lang w:eastAsia="ar-SA"/>
        </w:rPr>
        <w:lastRenderedPageBreak/>
        <w:t>proizlazi da se ukupno poslovanje Razvojne agencije PORE KKŽ financira iz EU sredstava u iznosu od 6</w:t>
      </w:r>
      <w:r>
        <w:rPr>
          <w:rFonts w:ascii="Times New Roman" w:eastAsia="Calibri" w:hAnsi="Times New Roman" w:cs="Times New Roman"/>
          <w:sz w:val="24"/>
          <w:szCs w:val="24"/>
          <w:lang w:eastAsia="ar-SA"/>
        </w:rPr>
        <w:t>1,4</w:t>
      </w:r>
      <w:r w:rsidR="00CC471D">
        <w:rPr>
          <w:rFonts w:ascii="Times New Roman" w:eastAsia="Calibri" w:hAnsi="Times New Roman" w:cs="Times New Roman"/>
          <w:sz w:val="24"/>
          <w:szCs w:val="24"/>
          <w:lang w:eastAsia="ar-SA"/>
        </w:rPr>
        <w:t>3</w:t>
      </w:r>
      <w:r w:rsidRPr="00E721E2">
        <w:rPr>
          <w:rFonts w:ascii="Times New Roman" w:eastAsia="Calibri" w:hAnsi="Times New Roman" w:cs="Times New Roman"/>
          <w:sz w:val="24"/>
          <w:szCs w:val="24"/>
          <w:lang w:eastAsia="ar-SA"/>
        </w:rPr>
        <w:t>%.</w:t>
      </w:r>
    </w:p>
    <w:p w14:paraId="375942DA" w14:textId="77777777" w:rsidR="000C5685" w:rsidRDefault="000C5685" w:rsidP="000C5685">
      <w:pPr>
        <w:suppressAutoHyphens/>
        <w:spacing w:after="0" w:line="240" w:lineRule="auto"/>
        <w:jc w:val="both"/>
        <w:rPr>
          <w:rFonts w:ascii="Times New Roman" w:eastAsia="Calibri" w:hAnsi="Times New Roman" w:cs="Times New Roman"/>
          <w:sz w:val="24"/>
          <w:szCs w:val="24"/>
          <w:lang w:eastAsia="ar-SA"/>
        </w:rPr>
      </w:pPr>
    </w:p>
    <w:p w14:paraId="43C5E138" w14:textId="2C0D494F" w:rsidR="00E33D96" w:rsidRPr="00E721E2" w:rsidRDefault="00E33D96" w:rsidP="000C568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Tablica </w:t>
      </w:r>
      <w:r w:rsidR="00DF5DAA">
        <w:rPr>
          <w:rFonts w:ascii="Times New Roman" w:eastAsia="Calibri" w:hAnsi="Times New Roman" w:cs="Times New Roman"/>
          <w:sz w:val="24"/>
          <w:szCs w:val="24"/>
          <w:lang w:eastAsia="ar-SA"/>
        </w:rPr>
        <w:t>7</w:t>
      </w:r>
      <w:r>
        <w:rPr>
          <w:rFonts w:ascii="Times New Roman" w:eastAsia="Calibri" w:hAnsi="Times New Roman" w:cs="Times New Roman"/>
          <w:sz w:val="24"/>
          <w:szCs w:val="24"/>
          <w:lang w:eastAsia="ar-SA"/>
        </w:rPr>
        <w:t>. Ostvareni rashodi temeljem provedbe EU projeka</w:t>
      </w:r>
      <w:r w:rsidR="00CC471D">
        <w:rPr>
          <w:rFonts w:ascii="Times New Roman" w:eastAsia="Calibri" w:hAnsi="Times New Roman" w:cs="Times New Roman"/>
          <w:sz w:val="24"/>
          <w:szCs w:val="24"/>
          <w:lang w:eastAsia="ar-SA"/>
        </w:rPr>
        <w:t>t</w:t>
      </w:r>
      <w:r>
        <w:rPr>
          <w:rFonts w:ascii="Times New Roman" w:eastAsia="Calibri" w:hAnsi="Times New Roman" w:cs="Times New Roman"/>
          <w:sz w:val="24"/>
          <w:szCs w:val="24"/>
          <w:lang w:eastAsia="ar-SA"/>
        </w:rPr>
        <w:t xml:space="preserve">a </w:t>
      </w:r>
    </w:p>
    <w:tbl>
      <w:tblPr>
        <w:tblStyle w:val="TableGrid"/>
        <w:tblW w:w="9067" w:type="dxa"/>
        <w:tblLook w:val="04A0" w:firstRow="1" w:lastRow="0" w:firstColumn="1" w:lastColumn="0" w:noHBand="0" w:noVBand="1"/>
      </w:tblPr>
      <w:tblGrid>
        <w:gridCol w:w="4390"/>
        <w:gridCol w:w="1892"/>
        <w:gridCol w:w="1651"/>
        <w:gridCol w:w="1134"/>
      </w:tblGrid>
      <w:tr w:rsidR="000C5685" w:rsidRPr="00F120D7" w14:paraId="5AE3064F" w14:textId="77777777" w:rsidTr="007A33AA">
        <w:tc>
          <w:tcPr>
            <w:tcW w:w="4390" w:type="dxa"/>
            <w:tcBorders>
              <w:top w:val="single" w:sz="4" w:space="0" w:color="auto"/>
              <w:left w:val="single" w:sz="4" w:space="0" w:color="auto"/>
              <w:bottom w:val="single" w:sz="4" w:space="0" w:color="auto"/>
              <w:right w:val="single" w:sz="4" w:space="0" w:color="auto"/>
            </w:tcBorders>
          </w:tcPr>
          <w:p w14:paraId="76668121" w14:textId="77777777" w:rsidR="000C5685" w:rsidRPr="00F120D7" w:rsidRDefault="000C5685" w:rsidP="007A33AA">
            <w:pPr>
              <w:suppressAutoHyphens/>
              <w:jc w:val="both"/>
              <w:rPr>
                <w:rFonts w:ascii="Times New Roman" w:eastAsia="Calibri" w:hAnsi="Times New Roman" w:cs="Times New Roman"/>
                <w:lang w:val="hr-HR" w:eastAsia="ar-SA"/>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5574CA52" w14:textId="77777777" w:rsidR="000C5685" w:rsidRPr="00F120D7" w:rsidRDefault="000C5685" w:rsidP="007A33AA">
            <w:pPr>
              <w:suppressAutoHyphens/>
              <w:jc w:val="center"/>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Planirano u 2024.</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C828506" w14:textId="77777777" w:rsidR="000C5685" w:rsidRPr="00F120D7" w:rsidRDefault="000C5685" w:rsidP="007A33AA">
            <w:pPr>
              <w:suppressAutoHyphens/>
              <w:jc w:val="center"/>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Izvršeno u 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64432" w14:textId="77777777" w:rsidR="000C5685" w:rsidRPr="00F120D7" w:rsidRDefault="000C5685" w:rsidP="007A33AA">
            <w:pPr>
              <w:suppressAutoHyphens/>
              <w:jc w:val="center"/>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Indeks</w:t>
            </w:r>
          </w:p>
        </w:tc>
      </w:tr>
      <w:tr w:rsidR="000C5685" w:rsidRPr="00F120D7" w14:paraId="29B0F11E" w14:textId="77777777" w:rsidTr="007A33AA">
        <w:tc>
          <w:tcPr>
            <w:tcW w:w="4390" w:type="dxa"/>
            <w:tcBorders>
              <w:top w:val="single" w:sz="4" w:space="0" w:color="auto"/>
              <w:left w:val="single" w:sz="4" w:space="0" w:color="auto"/>
              <w:bottom w:val="single" w:sz="4" w:space="0" w:color="auto"/>
              <w:right w:val="single" w:sz="4" w:space="0" w:color="auto"/>
            </w:tcBorders>
            <w:hideMark/>
          </w:tcPr>
          <w:p w14:paraId="5275DDDD" w14:textId="77777777" w:rsidR="000C5685" w:rsidRPr="00F120D7" w:rsidRDefault="000C5685" w:rsidP="007A33AA">
            <w:pPr>
              <w:suppressAutoHyphens/>
              <w:jc w:val="both"/>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Aktivnost A100153 EU PROJEKTI - PORA</w:t>
            </w:r>
          </w:p>
        </w:tc>
        <w:tc>
          <w:tcPr>
            <w:tcW w:w="1892" w:type="dxa"/>
            <w:tcBorders>
              <w:top w:val="single" w:sz="4" w:space="0" w:color="auto"/>
              <w:left w:val="single" w:sz="4" w:space="0" w:color="auto"/>
              <w:bottom w:val="single" w:sz="4" w:space="0" w:color="auto"/>
              <w:right w:val="single" w:sz="4" w:space="0" w:color="auto"/>
            </w:tcBorders>
            <w:vAlign w:val="center"/>
            <w:hideMark/>
          </w:tcPr>
          <w:p w14:paraId="0ECD46F9" w14:textId="77777777" w:rsidR="000C5685" w:rsidRPr="00F120D7" w:rsidRDefault="000C5685" w:rsidP="007A33AA">
            <w:pPr>
              <w:suppressAutoHyphens/>
              <w:jc w:val="right"/>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598.370,00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4287035" w14:textId="77777777" w:rsidR="000C5685" w:rsidRPr="00F120D7" w:rsidRDefault="000C5685" w:rsidP="007A33AA">
            <w:pPr>
              <w:suppressAutoHyphens/>
              <w:jc w:val="right"/>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520.039,46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659278" w14:textId="77777777" w:rsidR="000C5685" w:rsidRPr="00F120D7" w:rsidRDefault="000C5685" w:rsidP="007A33AA">
            <w:pPr>
              <w:suppressAutoHyphens/>
              <w:jc w:val="center"/>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86,91%</w:t>
            </w:r>
          </w:p>
        </w:tc>
      </w:tr>
      <w:tr w:rsidR="000C5685" w:rsidRPr="00F120D7" w14:paraId="24E800B0" w14:textId="77777777" w:rsidTr="007A33AA">
        <w:tc>
          <w:tcPr>
            <w:tcW w:w="4390" w:type="dxa"/>
            <w:tcBorders>
              <w:top w:val="single" w:sz="4" w:space="0" w:color="auto"/>
              <w:left w:val="single" w:sz="4" w:space="0" w:color="auto"/>
              <w:bottom w:val="single" w:sz="4" w:space="0" w:color="auto"/>
              <w:right w:val="single" w:sz="4" w:space="0" w:color="auto"/>
            </w:tcBorders>
            <w:hideMark/>
          </w:tcPr>
          <w:p w14:paraId="041ED87B" w14:textId="77777777" w:rsidR="000C5685" w:rsidRPr="00F120D7" w:rsidRDefault="000C5685" w:rsidP="007A33AA">
            <w:pPr>
              <w:suppressAutoHyphens/>
              <w:jc w:val="both"/>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Aktivnost K100099 EU PROJEKTI - PORA</w:t>
            </w:r>
          </w:p>
        </w:tc>
        <w:tc>
          <w:tcPr>
            <w:tcW w:w="1892" w:type="dxa"/>
            <w:tcBorders>
              <w:top w:val="single" w:sz="4" w:space="0" w:color="auto"/>
              <w:left w:val="single" w:sz="4" w:space="0" w:color="auto"/>
              <w:bottom w:val="single" w:sz="4" w:space="0" w:color="auto"/>
              <w:right w:val="single" w:sz="4" w:space="0" w:color="auto"/>
            </w:tcBorders>
            <w:vAlign w:val="center"/>
            <w:hideMark/>
          </w:tcPr>
          <w:p w14:paraId="2E638C39" w14:textId="77777777" w:rsidR="000C5685" w:rsidRPr="00F120D7" w:rsidRDefault="000C5685" w:rsidP="007A33AA">
            <w:pPr>
              <w:suppressAutoHyphens/>
              <w:jc w:val="right"/>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2.000,00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C07409F" w14:textId="77777777" w:rsidR="000C5685" w:rsidRPr="00F120D7" w:rsidRDefault="000C5685" w:rsidP="007A33AA">
            <w:pPr>
              <w:suppressAutoHyphens/>
              <w:jc w:val="right"/>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497,50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46EC66" w14:textId="77777777" w:rsidR="000C5685" w:rsidRPr="00F120D7" w:rsidRDefault="000C5685" w:rsidP="007A33AA">
            <w:pPr>
              <w:suppressAutoHyphens/>
              <w:jc w:val="center"/>
              <w:rPr>
                <w:rFonts w:ascii="Times New Roman" w:eastAsia="Calibri" w:hAnsi="Times New Roman" w:cs="Times New Roman"/>
                <w:lang w:val="hr-HR" w:eastAsia="ar-SA"/>
              </w:rPr>
            </w:pPr>
            <w:r w:rsidRPr="00F120D7">
              <w:rPr>
                <w:rFonts w:ascii="Times New Roman" w:eastAsia="Calibri" w:hAnsi="Times New Roman" w:cs="Times New Roman"/>
                <w:lang w:val="hr-HR" w:eastAsia="ar-SA"/>
              </w:rPr>
              <w:t>24,88%</w:t>
            </w:r>
          </w:p>
        </w:tc>
      </w:tr>
      <w:tr w:rsidR="000C5685" w:rsidRPr="00F120D7" w14:paraId="6A51DC55" w14:textId="77777777" w:rsidTr="007A33AA">
        <w:tc>
          <w:tcPr>
            <w:tcW w:w="4390" w:type="dxa"/>
            <w:tcBorders>
              <w:top w:val="single" w:sz="4" w:space="0" w:color="auto"/>
              <w:left w:val="single" w:sz="4" w:space="0" w:color="auto"/>
              <w:bottom w:val="single" w:sz="4" w:space="0" w:color="auto"/>
              <w:right w:val="single" w:sz="4" w:space="0" w:color="auto"/>
            </w:tcBorders>
            <w:hideMark/>
          </w:tcPr>
          <w:p w14:paraId="736F2EAF" w14:textId="77777777" w:rsidR="000C5685" w:rsidRPr="00F120D7" w:rsidRDefault="000C5685" w:rsidP="007A33AA">
            <w:pPr>
              <w:suppressAutoHyphens/>
              <w:jc w:val="both"/>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UKUPNO:</w:t>
            </w:r>
          </w:p>
        </w:tc>
        <w:tc>
          <w:tcPr>
            <w:tcW w:w="1892" w:type="dxa"/>
            <w:tcBorders>
              <w:top w:val="single" w:sz="4" w:space="0" w:color="auto"/>
              <w:left w:val="single" w:sz="4" w:space="0" w:color="auto"/>
              <w:bottom w:val="single" w:sz="4" w:space="0" w:color="auto"/>
              <w:right w:val="single" w:sz="4" w:space="0" w:color="auto"/>
            </w:tcBorders>
            <w:hideMark/>
          </w:tcPr>
          <w:p w14:paraId="0B5EEC1C" w14:textId="77777777" w:rsidR="000C5685" w:rsidRPr="00F120D7" w:rsidRDefault="000C5685" w:rsidP="007A33AA">
            <w:pPr>
              <w:suppressAutoHyphens/>
              <w:jc w:val="right"/>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600.370,00</w:t>
            </w:r>
          </w:p>
        </w:tc>
        <w:tc>
          <w:tcPr>
            <w:tcW w:w="1651" w:type="dxa"/>
            <w:tcBorders>
              <w:top w:val="single" w:sz="4" w:space="0" w:color="auto"/>
              <w:left w:val="single" w:sz="4" w:space="0" w:color="auto"/>
              <w:bottom w:val="single" w:sz="4" w:space="0" w:color="auto"/>
              <w:right w:val="single" w:sz="4" w:space="0" w:color="auto"/>
            </w:tcBorders>
            <w:hideMark/>
          </w:tcPr>
          <w:p w14:paraId="53949D73" w14:textId="77777777" w:rsidR="000C5685" w:rsidRPr="00F120D7" w:rsidRDefault="000C5685" w:rsidP="007A33AA">
            <w:pPr>
              <w:suppressAutoHyphens/>
              <w:jc w:val="right"/>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520.536,96</w:t>
            </w:r>
          </w:p>
        </w:tc>
        <w:tc>
          <w:tcPr>
            <w:tcW w:w="1134" w:type="dxa"/>
            <w:tcBorders>
              <w:top w:val="single" w:sz="4" w:space="0" w:color="auto"/>
              <w:left w:val="single" w:sz="4" w:space="0" w:color="auto"/>
              <w:bottom w:val="single" w:sz="4" w:space="0" w:color="auto"/>
              <w:right w:val="single" w:sz="4" w:space="0" w:color="auto"/>
            </w:tcBorders>
          </w:tcPr>
          <w:p w14:paraId="07693639" w14:textId="77777777" w:rsidR="000C5685" w:rsidRPr="00F120D7" w:rsidRDefault="000C5685" w:rsidP="007A33AA">
            <w:pPr>
              <w:suppressAutoHyphens/>
              <w:jc w:val="center"/>
              <w:rPr>
                <w:rFonts w:ascii="Times New Roman" w:eastAsia="Calibri" w:hAnsi="Times New Roman" w:cs="Times New Roman"/>
                <w:b/>
                <w:bCs/>
                <w:lang w:val="hr-HR" w:eastAsia="ar-SA"/>
              </w:rPr>
            </w:pPr>
            <w:r w:rsidRPr="00F120D7">
              <w:rPr>
                <w:rFonts w:ascii="Times New Roman" w:eastAsia="Calibri" w:hAnsi="Times New Roman" w:cs="Times New Roman"/>
                <w:b/>
                <w:bCs/>
                <w:lang w:val="hr-HR" w:eastAsia="ar-SA"/>
              </w:rPr>
              <w:t>86,70%</w:t>
            </w:r>
          </w:p>
        </w:tc>
      </w:tr>
    </w:tbl>
    <w:p w14:paraId="617E887C" w14:textId="77777777" w:rsidR="000C5685" w:rsidRDefault="000C5685" w:rsidP="000C5685">
      <w:pPr>
        <w:suppressAutoHyphens/>
        <w:spacing w:after="0" w:line="240" w:lineRule="auto"/>
        <w:jc w:val="center"/>
        <w:rPr>
          <w:rFonts w:ascii="Times New Roman" w:eastAsia="Calibri" w:hAnsi="Times New Roman" w:cs="Times New Roman"/>
          <w:sz w:val="24"/>
          <w:szCs w:val="24"/>
          <w:lang w:eastAsia="ar-SA"/>
        </w:rPr>
      </w:pPr>
    </w:p>
    <w:p w14:paraId="693F1979" w14:textId="77777777" w:rsidR="00C732CE" w:rsidRDefault="00C732CE" w:rsidP="000C5685">
      <w:pPr>
        <w:suppressAutoHyphens/>
        <w:spacing w:after="0" w:line="240" w:lineRule="auto"/>
        <w:jc w:val="center"/>
        <w:rPr>
          <w:rFonts w:ascii="Times New Roman" w:eastAsia="Calibri" w:hAnsi="Times New Roman" w:cs="Times New Roman"/>
          <w:sz w:val="24"/>
          <w:szCs w:val="24"/>
          <w:lang w:eastAsia="ar-SA"/>
        </w:rPr>
      </w:pPr>
    </w:p>
    <w:p w14:paraId="4E46F48F" w14:textId="35D0025E" w:rsidR="000C5685" w:rsidRPr="00A330D4" w:rsidRDefault="000C5685" w:rsidP="000C5685">
      <w:pPr>
        <w:suppressAutoHyphens/>
        <w:spacing w:after="0" w:line="240" w:lineRule="auto"/>
        <w:jc w:val="both"/>
        <w:rPr>
          <w:rFonts w:ascii="Times New Roman" w:eastAsia="Calibri" w:hAnsi="Times New Roman" w:cs="Times New Roman"/>
          <w:sz w:val="24"/>
          <w:szCs w:val="24"/>
          <w:lang w:eastAsia="ar-SA"/>
        </w:rPr>
      </w:pPr>
      <w:r w:rsidRPr="00A330D4">
        <w:rPr>
          <w:rFonts w:ascii="Times New Roman" w:eastAsia="Calibri" w:hAnsi="Times New Roman" w:cs="Times New Roman"/>
          <w:sz w:val="24"/>
          <w:szCs w:val="24"/>
          <w:lang w:eastAsia="ar-SA"/>
        </w:rPr>
        <w:t xml:space="preserve">Tijekom 2024. godine PORA Regionalna razvojna agencija ostvarila je od EU ukupno </w:t>
      </w:r>
      <w:r w:rsidR="00E33D96" w:rsidRPr="00A330D4">
        <w:rPr>
          <w:rFonts w:ascii="Times New Roman" w:eastAsia="Calibri" w:hAnsi="Times New Roman" w:cs="Times New Roman"/>
          <w:sz w:val="24"/>
          <w:szCs w:val="24"/>
          <w:lang w:eastAsia="ar-SA"/>
        </w:rPr>
        <w:t>492.</w:t>
      </w:r>
      <w:r w:rsidR="009135B4" w:rsidRPr="00A330D4">
        <w:rPr>
          <w:rFonts w:ascii="Times New Roman" w:eastAsia="Calibri" w:hAnsi="Times New Roman" w:cs="Times New Roman"/>
          <w:sz w:val="24"/>
          <w:szCs w:val="24"/>
          <w:lang w:eastAsia="ar-SA"/>
        </w:rPr>
        <w:t>3</w:t>
      </w:r>
      <w:r w:rsidR="00E33D96" w:rsidRPr="00A330D4">
        <w:rPr>
          <w:rFonts w:ascii="Times New Roman" w:eastAsia="Calibri" w:hAnsi="Times New Roman" w:cs="Times New Roman"/>
          <w:sz w:val="24"/>
          <w:szCs w:val="24"/>
          <w:lang w:eastAsia="ar-SA"/>
        </w:rPr>
        <w:t>62,76</w:t>
      </w:r>
      <w:r w:rsidRPr="00A330D4">
        <w:rPr>
          <w:rFonts w:ascii="Times New Roman" w:eastAsia="Calibri" w:hAnsi="Times New Roman" w:cs="Times New Roman"/>
          <w:sz w:val="24"/>
          <w:szCs w:val="24"/>
          <w:lang w:eastAsia="ar-SA"/>
        </w:rPr>
        <w:t xml:space="preserve"> eura prihoda, što čini </w:t>
      </w:r>
      <w:r w:rsidR="00E33D96" w:rsidRPr="00A330D4">
        <w:rPr>
          <w:rFonts w:ascii="Times New Roman" w:eastAsia="Calibri" w:hAnsi="Times New Roman" w:cs="Times New Roman"/>
          <w:sz w:val="24"/>
          <w:szCs w:val="24"/>
          <w:lang w:eastAsia="ar-SA"/>
        </w:rPr>
        <w:t>59,65</w:t>
      </w:r>
      <w:r w:rsidRPr="00A330D4">
        <w:rPr>
          <w:rFonts w:ascii="Times New Roman" w:eastAsia="Calibri" w:hAnsi="Times New Roman" w:cs="Times New Roman"/>
          <w:sz w:val="24"/>
          <w:szCs w:val="24"/>
          <w:lang w:eastAsia="ar-SA"/>
        </w:rPr>
        <w:t>% ukupno ostvarenih prihoda.</w:t>
      </w:r>
    </w:p>
    <w:p w14:paraId="1320E0ED" w14:textId="77777777" w:rsidR="000C5685" w:rsidRPr="00A330D4" w:rsidRDefault="000C5685" w:rsidP="000C5685">
      <w:pPr>
        <w:suppressAutoHyphens/>
        <w:spacing w:after="0" w:line="240" w:lineRule="auto"/>
        <w:jc w:val="both"/>
        <w:rPr>
          <w:rFonts w:ascii="Times New Roman" w:eastAsia="Calibri" w:hAnsi="Times New Roman" w:cs="Times New Roman"/>
          <w:sz w:val="24"/>
          <w:szCs w:val="24"/>
          <w:lang w:eastAsia="ar-SA"/>
        </w:rPr>
      </w:pPr>
    </w:p>
    <w:p w14:paraId="1B95C810" w14:textId="75C6EC41" w:rsidR="00E33D96" w:rsidRPr="00A330D4" w:rsidRDefault="00E33D96" w:rsidP="000C5685">
      <w:pPr>
        <w:suppressAutoHyphens/>
        <w:spacing w:after="0" w:line="240" w:lineRule="auto"/>
        <w:jc w:val="both"/>
        <w:rPr>
          <w:rFonts w:ascii="Times New Roman" w:eastAsia="Calibri" w:hAnsi="Times New Roman" w:cs="Times New Roman"/>
          <w:sz w:val="24"/>
          <w:szCs w:val="24"/>
          <w:lang w:eastAsia="ar-SA"/>
        </w:rPr>
      </w:pPr>
      <w:r w:rsidRPr="00A330D4">
        <w:rPr>
          <w:rFonts w:ascii="Times New Roman" w:eastAsia="Calibri" w:hAnsi="Times New Roman" w:cs="Times New Roman"/>
          <w:sz w:val="24"/>
          <w:szCs w:val="24"/>
          <w:lang w:eastAsia="ar-SA"/>
        </w:rPr>
        <w:t xml:space="preserve">Tablica </w:t>
      </w:r>
      <w:r w:rsidR="00DF5DAA">
        <w:rPr>
          <w:rFonts w:ascii="Times New Roman" w:eastAsia="Calibri" w:hAnsi="Times New Roman" w:cs="Times New Roman"/>
          <w:sz w:val="24"/>
          <w:szCs w:val="24"/>
          <w:lang w:eastAsia="ar-SA"/>
        </w:rPr>
        <w:t>8</w:t>
      </w:r>
      <w:r w:rsidRPr="00A330D4">
        <w:rPr>
          <w:rFonts w:ascii="Times New Roman" w:eastAsia="Calibri" w:hAnsi="Times New Roman" w:cs="Times New Roman"/>
          <w:sz w:val="24"/>
          <w:szCs w:val="24"/>
          <w:lang w:eastAsia="ar-SA"/>
        </w:rPr>
        <w:t>. Ostvareni prihodi temeljem provedbe EU projekata</w:t>
      </w:r>
    </w:p>
    <w:tbl>
      <w:tblPr>
        <w:tblStyle w:val="TableGrid"/>
        <w:tblW w:w="9067" w:type="dxa"/>
        <w:tblLook w:val="04A0" w:firstRow="1" w:lastRow="0" w:firstColumn="1" w:lastColumn="0" w:noHBand="0" w:noVBand="1"/>
      </w:tblPr>
      <w:tblGrid>
        <w:gridCol w:w="4328"/>
        <w:gridCol w:w="1831"/>
        <w:gridCol w:w="1832"/>
        <w:gridCol w:w="1076"/>
      </w:tblGrid>
      <w:tr w:rsidR="00A330D4" w:rsidRPr="00A330D4" w14:paraId="4B5EB194" w14:textId="77777777" w:rsidTr="007A33AA">
        <w:tc>
          <w:tcPr>
            <w:tcW w:w="4328" w:type="dxa"/>
            <w:tcBorders>
              <w:top w:val="single" w:sz="4" w:space="0" w:color="auto"/>
              <w:left w:val="single" w:sz="4" w:space="0" w:color="auto"/>
              <w:bottom w:val="single" w:sz="4" w:space="0" w:color="auto"/>
              <w:right w:val="single" w:sz="4" w:space="0" w:color="auto"/>
            </w:tcBorders>
          </w:tcPr>
          <w:p w14:paraId="6F61A8CE" w14:textId="77777777" w:rsidR="000C5685" w:rsidRPr="00A330D4" w:rsidRDefault="000C5685" w:rsidP="007A33AA">
            <w:pPr>
              <w:suppressAutoHyphens/>
              <w:jc w:val="both"/>
              <w:rPr>
                <w:rFonts w:ascii="Times New Roman" w:eastAsia="Calibri" w:hAnsi="Times New Roman" w:cs="Times New Roman"/>
                <w:lang w:val="hr-HR" w:eastAsia="ar-SA"/>
              </w:rPr>
            </w:pPr>
          </w:p>
        </w:tc>
        <w:tc>
          <w:tcPr>
            <w:tcW w:w="1831" w:type="dxa"/>
            <w:tcBorders>
              <w:top w:val="single" w:sz="4" w:space="0" w:color="auto"/>
              <w:left w:val="single" w:sz="4" w:space="0" w:color="auto"/>
              <w:bottom w:val="single" w:sz="4" w:space="0" w:color="auto"/>
              <w:right w:val="single" w:sz="4" w:space="0" w:color="auto"/>
            </w:tcBorders>
            <w:vAlign w:val="center"/>
            <w:hideMark/>
          </w:tcPr>
          <w:p w14:paraId="1095D655" w14:textId="77777777" w:rsidR="000C5685" w:rsidRPr="00A330D4" w:rsidRDefault="000C5685" w:rsidP="007A33AA">
            <w:pPr>
              <w:suppressAutoHyphens/>
              <w:jc w:val="center"/>
              <w:rPr>
                <w:rFonts w:ascii="Times New Roman" w:eastAsia="Calibri" w:hAnsi="Times New Roman" w:cs="Times New Roman"/>
                <w:b/>
                <w:bCs/>
                <w:lang w:val="hr-HR" w:eastAsia="ar-SA"/>
              </w:rPr>
            </w:pPr>
            <w:r w:rsidRPr="00A330D4">
              <w:rPr>
                <w:rFonts w:ascii="Times New Roman" w:eastAsia="Calibri" w:hAnsi="Times New Roman" w:cs="Times New Roman"/>
                <w:b/>
                <w:bCs/>
                <w:lang w:val="hr-HR" w:eastAsia="ar-SA"/>
              </w:rPr>
              <w:t>Planirano u 2024.</w:t>
            </w:r>
          </w:p>
        </w:tc>
        <w:tc>
          <w:tcPr>
            <w:tcW w:w="1832" w:type="dxa"/>
            <w:tcBorders>
              <w:top w:val="single" w:sz="4" w:space="0" w:color="auto"/>
              <w:left w:val="single" w:sz="4" w:space="0" w:color="auto"/>
              <w:bottom w:val="single" w:sz="4" w:space="0" w:color="auto"/>
              <w:right w:val="single" w:sz="4" w:space="0" w:color="auto"/>
            </w:tcBorders>
            <w:vAlign w:val="center"/>
            <w:hideMark/>
          </w:tcPr>
          <w:p w14:paraId="5F4C3925" w14:textId="77777777" w:rsidR="000C5685" w:rsidRPr="00A330D4" w:rsidRDefault="000C5685" w:rsidP="007A33AA">
            <w:pPr>
              <w:suppressAutoHyphens/>
              <w:jc w:val="center"/>
              <w:rPr>
                <w:rFonts w:ascii="Times New Roman" w:eastAsia="Calibri" w:hAnsi="Times New Roman" w:cs="Times New Roman"/>
                <w:b/>
                <w:bCs/>
                <w:lang w:val="hr-HR" w:eastAsia="ar-SA"/>
              </w:rPr>
            </w:pPr>
            <w:r w:rsidRPr="00A330D4">
              <w:rPr>
                <w:rFonts w:ascii="Times New Roman" w:eastAsia="Calibri" w:hAnsi="Times New Roman" w:cs="Times New Roman"/>
                <w:b/>
                <w:bCs/>
                <w:lang w:val="hr-HR" w:eastAsia="ar-SA"/>
              </w:rPr>
              <w:t>Izvršeno u 2024.</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A39181C" w14:textId="77777777" w:rsidR="000C5685" w:rsidRPr="00A330D4" w:rsidRDefault="000C5685" w:rsidP="007A33AA">
            <w:pPr>
              <w:suppressAutoHyphens/>
              <w:jc w:val="center"/>
              <w:rPr>
                <w:rFonts w:ascii="Times New Roman" w:eastAsia="Calibri" w:hAnsi="Times New Roman" w:cs="Times New Roman"/>
                <w:b/>
                <w:bCs/>
                <w:lang w:val="hr-HR" w:eastAsia="ar-SA"/>
              </w:rPr>
            </w:pPr>
            <w:r w:rsidRPr="00A330D4">
              <w:rPr>
                <w:rFonts w:ascii="Times New Roman" w:eastAsia="Calibri" w:hAnsi="Times New Roman" w:cs="Times New Roman"/>
                <w:b/>
                <w:bCs/>
                <w:lang w:val="hr-HR" w:eastAsia="ar-SA"/>
              </w:rPr>
              <w:t>Indeks</w:t>
            </w:r>
          </w:p>
        </w:tc>
      </w:tr>
      <w:tr w:rsidR="00A330D4" w:rsidRPr="00A330D4" w14:paraId="26CF54CD" w14:textId="77777777" w:rsidTr="007A33AA">
        <w:tc>
          <w:tcPr>
            <w:tcW w:w="4328" w:type="dxa"/>
            <w:tcBorders>
              <w:top w:val="single" w:sz="4" w:space="0" w:color="auto"/>
              <w:left w:val="single" w:sz="4" w:space="0" w:color="auto"/>
              <w:bottom w:val="single" w:sz="4" w:space="0" w:color="auto"/>
              <w:right w:val="single" w:sz="4" w:space="0" w:color="auto"/>
            </w:tcBorders>
            <w:vAlign w:val="center"/>
          </w:tcPr>
          <w:p w14:paraId="0ACF5894" w14:textId="77777777" w:rsidR="000C5685" w:rsidRPr="00A330D4" w:rsidRDefault="000C5685" w:rsidP="007A33AA">
            <w:pPr>
              <w:suppressAutoHyphens/>
              <w:jc w:val="both"/>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Tekuće pomoći od institucija i tijela EU</w:t>
            </w:r>
          </w:p>
        </w:tc>
        <w:tc>
          <w:tcPr>
            <w:tcW w:w="1831" w:type="dxa"/>
            <w:tcBorders>
              <w:top w:val="single" w:sz="4" w:space="0" w:color="auto"/>
              <w:left w:val="single" w:sz="4" w:space="0" w:color="auto"/>
              <w:bottom w:val="single" w:sz="4" w:space="0" w:color="auto"/>
              <w:right w:val="single" w:sz="4" w:space="0" w:color="auto"/>
            </w:tcBorders>
            <w:vAlign w:val="center"/>
          </w:tcPr>
          <w:p w14:paraId="4F85E920" w14:textId="77777777" w:rsidR="000C5685" w:rsidRPr="00A330D4" w:rsidRDefault="000C5685" w:rsidP="007A33AA">
            <w:pPr>
              <w:suppressAutoHyphens/>
              <w:jc w:val="right"/>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70.000,00</w:t>
            </w:r>
          </w:p>
        </w:tc>
        <w:tc>
          <w:tcPr>
            <w:tcW w:w="1832" w:type="dxa"/>
            <w:tcBorders>
              <w:top w:val="single" w:sz="4" w:space="0" w:color="auto"/>
              <w:left w:val="single" w:sz="4" w:space="0" w:color="auto"/>
              <w:bottom w:val="single" w:sz="4" w:space="0" w:color="auto"/>
              <w:right w:val="single" w:sz="4" w:space="0" w:color="auto"/>
            </w:tcBorders>
            <w:vAlign w:val="center"/>
          </w:tcPr>
          <w:p w14:paraId="5F4D55C7" w14:textId="77777777" w:rsidR="000C5685" w:rsidRPr="00A330D4" w:rsidRDefault="000C5685" w:rsidP="007A33AA">
            <w:pPr>
              <w:suppressAutoHyphens/>
              <w:jc w:val="right"/>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63.173,54</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E09560" w14:textId="77777777" w:rsidR="000C5685" w:rsidRPr="00A330D4" w:rsidRDefault="000C5685" w:rsidP="007A33AA">
            <w:pPr>
              <w:suppressAutoHyphens/>
              <w:jc w:val="center"/>
              <w:rPr>
                <w:rFonts w:ascii="Times New Roman" w:eastAsia="Calibri" w:hAnsi="Times New Roman" w:cs="Times New Roman"/>
                <w:highlight w:val="yellow"/>
                <w:lang w:val="hr-HR" w:eastAsia="ar-SA"/>
              </w:rPr>
            </w:pPr>
            <w:r w:rsidRPr="00A330D4">
              <w:rPr>
                <w:rFonts w:ascii="Times New Roman" w:eastAsia="Calibri" w:hAnsi="Times New Roman" w:cs="Times New Roman"/>
                <w:lang w:val="hr-HR" w:eastAsia="ar-SA"/>
              </w:rPr>
              <w:t>90,25%</w:t>
            </w:r>
          </w:p>
        </w:tc>
      </w:tr>
      <w:tr w:rsidR="00A330D4" w:rsidRPr="00A330D4" w14:paraId="728DD556" w14:textId="77777777" w:rsidTr="007A33AA">
        <w:tc>
          <w:tcPr>
            <w:tcW w:w="4328" w:type="dxa"/>
            <w:tcBorders>
              <w:top w:val="single" w:sz="4" w:space="0" w:color="auto"/>
              <w:left w:val="single" w:sz="4" w:space="0" w:color="auto"/>
              <w:bottom w:val="single" w:sz="4" w:space="0" w:color="auto"/>
              <w:right w:val="single" w:sz="4" w:space="0" w:color="auto"/>
            </w:tcBorders>
            <w:hideMark/>
          </w:tcPr>
          <w:p w14:paraId="7AF4F68A" w14:textId="77777777" w:rsidR="000C5685" w:rsidRPr="00A330D4" w:rsidRDefault="000C5685" w:rsidP="007A33AA">
            <w:pPr>
              <w:suppressAutoHyphens/>
              <w:jc w:val="both"/>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Tekuće pomoći iz državnog proračuna temeljem prijenosa EU sredstava</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2A30392" w14:textId="77777777" w:rsidR="000C5685" w:rsidRPr="00A330D4" w:rsidRDefault="000C5685" w:rsidP="007A33AA">
            <w:pPr>
              <w:suppressAutoHyphens/>
              <w:jc w:val="right"/>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417.845,00</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2CCC031" w14:textId="77777777" w:rsidR="000C5685" w:rsidRPr="00A330D4" w:rsidRDefault="000C5685" w:rsidP="007A33AA">
            <w:pPr>
              <w:suppressAutoHyphens/>
              <w:jc w:val="right"/>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429.189,22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3F614EE" w14:textId="77777777" w:rsidR="000C5685" w:rsidRPr="00A330D4" w:rsidRDefault="000C5685" w:rsidP="007A33AA">
            <w:pPr>
              <w:suppressAutoHyphens/>
              <w:jc w:val="center"/>
              <w:rPr>
                <w:rFonts w:ascii="Times New Roman" w:eastAsia="Calibri" w:hAnsi="Times New Roman" w:cs="Times New Roman"/>
                <w:lang w:val="hr-HR" w:eastAsia="ar-SA"/>
              </w:rPr>
            </w:pPr>
            <w:r w:rsidRPr="00A330D4">
              <w:rPr>
                <w:rFonts w:ascii="Times New Roman" w:eastAsia="Calibri" w:hAnsi="Times New Roman" w:cs="Times New Roman"/>
                <w:lang w:val="hr-HR" w:eastAsia="ar-SA"/>
              </w:rPr>
              <w:t>103,13%</w:t>
            </w:r>
          </w:p>
        </w:tc>
      </w:tr>
      <w:tr w:rsidR="000C5685" w:rsidRPr="00A330D4" w14:paraId="708E6A02" w14:textId="77777777" w:rsidTr="007A33AA">
        <w:tc>
          <w:tcPr>
            <w:tcW w:w="4328" w:type="dxa"/>
            <w:tcBorders>
              <w:top w:val="single" w:sz="4" w:space="0" w:color="auto"/>
              <w:left w:val="single" w:sz="4" w:space="0" w:color="auto"/>
              <w:bottom w:val="single" w:sz="4" w:space="0" w:color="auto"/>
              <w:right w:val="single" w:sz="4" w:space="0" w:color="auto"/>
            </w:tcBorders>
            <w:hideMark/>
          </w:tcPr>
          <w:p w14:paraId="463E2D24" w14:textId="77777777" w:rsidR="000C5685" w:rsidRPr="00A330D4" w:rsidRDefault="000C5685" w:rsidP="007A33AA">
            <w:pPr>
              <w:suppressAutoHyphens/>
              <w:jc w:val="both"/>
              <w:rPr>
                <w:rFonts w:ascii="Times New Roman" w:eastAsia="Calibri" w:hAnsi="Times New Roman" w:cs="Times New Roman"/>
                <w:b/>
                <w:bCs/>
                <w:lang w:val="hr-HR" w:eastAsia="ar-SA"/>
              </w:rPr>
            </w:pPr>
            <w:r w:rsidRPr="00A330D4">
              <w:rPr>
                <w:rFonts w:ascii="Times New Roman" w:eastAsia="Calibri" w:hAnsi="Times New Roman" w:cs="Times New Roman"/>
                <w:b/>
                <w:bCs/>
                <w:lang w:val="hr-HR" w:eastAsia="ar-SA"/>
              </w:rPr>
              <w:t>UKUPNO:</w:t>
            </w:r>
          </w:p>
        </w:tc>
        <w:tc>
          <w:tcPr>
            <w:tcW w:w="1831" w:type="dxa"/>
            <w:tcBorders>
              <w:top w:val="single" w:sz="4" w:space="0" w:color="auto"/>
              <w:left w:val="single" w:sz="4" w:space="0" w:color="auto"/>
              <w:bottom w:val="single" w:sz="4" w:space="0" w:color="auto"/>
              <w:right w:val="single" w:sz="4" w:space="0" w:color="auto"/>
            </w:tcBorders>
            <w:hideMark/>
          </w:tcPr>
          <w:p w14:paraId="5A56A34E" w14:textId="77777777" w:rsidR="000C5685" w:rsidRPr="00A330D4" w:rsidRDefault="000C5685" w:rsidP="007A33AA">
            <w:pPr>
              <w:suppressAutoHyphens/>
              <w:jc w:val="right"/>
              <w:rPr>
                <w:rFonts w:ascii="Times New Roman" w:eastAsia="Calibri" w:hAnsi="Times New Roman" w:cs="Times New Roman"/>
                <w:b/>
                <w:bCs/>
                <w:lang w:val="hr-HR" w:eastAsia="ar-SA"/>
              </w:rPr>
            </w:pPr>
            <w:r w:rsidRPr="00A330D4">
              <w:rPr>
                <w:rFonts w:ascii="Times New Roman" w:eastAsia="Calibri" w:hAnsi="Times New Roman" w:cs="Times New Roman"/>
                <w:b/>
                <w:bCs/>
                <w:lang w:val="hr-HR" w:eastAsia="ar-SA"/>
              </w:rPr>
              <w:t>487.845,00</w:t>
            </w:r>
          </w:p>
        </w:tc>
        <w:tc>
          <w:tcPr>
            <w:tcW w:w="1832" w:type="dxa"/>
            <w:tcBorders>
              <w:top w:val="single" w:sz="4" w:space="0" w:color="auto"/>
              <w:left w:val="single" w:sz="4" w:space="0" w:color="auto"/>
              <w:bottom w:val="single" w:sz="4" w:space="0" w:color="auto"/>
              <w:right w:val="single" w:sz="4" w:space="0" w:color="auto"/>
            </w:tcBorders>
            <w:hideMark/>
          </w:tcPr>
          <w:p w14:paraId="48C3D063" w14:textId="77777777" w:rsidR="000C5685" w:rsidRPr="00A330D4" w:rsidRDefault="000C5685" w:rsidP="007A33AA">
            <w:pPr>
              <w:suppressAutoHyphens/>
              <w:jc w:val="right"/>
              <w:rPr>
                <w:rFonts w:ascii="Times New Roman" w:eastAsia="Calibri" w:hAnsi="Times New Roman" w:cs="Times New Roman"/>
                <w:b/>
                <w:bCs/>
                <w:lang w:val="hr-HR" w:eastAsia="ar-SA"/>
              </w:rPr>
            </w:pPr>
            <w:r w:rsidRPr="00A330D4">
              <w:rPr>
                <w:rFonts w:ascii="Times New Roman" w:eastAsia="Calibri" w:hAnsi="Times New Roman" w:cs="Times New Roman"/>
                <w:b/>
                <w:bCs/>
                <w:lang w:val="hr-HR" w:eastAsia="ar-SA"/>
              </w:rPr>
              <w:t>492.362,76</w:t>
            </w:r>
          </w:p>
        </w:tc>
        <w:tc>
          <w:tcPr>
            <w:tcW w:w="1076" w:type="dxa"/>
            <w:tcBorders>
              <w:top w:val="single" w:sz="4" w:space="0" w:color="auto"/>
              <w:left w:val="single" w:sz="4" w:space="0" w:color="auto"/>
              <w:bottom w:val="single" w:sz="4" w:space="0" w:color="auto"/>
              <w:right w:val="single" w:sz="4" w:space="0" w:color="auto"/>
            </w:tcBorders>
          </w:tcPr>
          <w:p w14:paraId="1B1E32C5" w14:textId="77777777" w:rsidR="000C5685" w:rsidRPr="00A330D4" w:rsidRDefault="000C5685" w:rsidP="007A33AA">
            <w:pPr>
              <w:suppressAutoHyphens/>
              <w:jc w:val="center"/>
              <w:rPr>
                <w:rFonts w:ascii="Times New Roman" w:eastAsia="Calibri" w:hAnsi="Times New Roman" w:cs="Times New Roman"/>
                <w:b/>
                <w:bCs/>
                <w:highlight w:val="yellow"/>
                <w:lang w:val="hr-HR" w:eastAsia="ar-SA"/>
              </w:rPr>
            </w:pPr>
            <w:r w:rsidRPr="00A330D4">
              <w:rPr>
                <w:rFonts w:ascii="Times New Roman" w:eastAsia="Calibri" w:hAnsi="Times New Roman" w:cs="Times New Roman"/>
                <w:b/>
                <w:bCs/>
                <w:lang w:val="hr-HR" w:eastAsia="ar-SA"/>
              </w:rPr>
              <w:t>100,93%</w:t>
            </w:r>
          </w:p>
        </w:tc>
      </w:tr>
    </w:tbl>
    <w:p w14:paraId="7F37D918" w14:textId="70E87574" w:rsidR="009E46BC" w:rsidRPr="00A330D4" w:rsidRDefault="009E46BC" w:rsidP="000C5685">
      <w:pPr>
        <w:spacing w:after="0" w:line="240" w:lineRule="auto"/>
        <w:jc w:val="both"/>
        <w:rPr>
          <w:rFonts w:ascii="Times New Roman" w:eastAsia="Calibri" w:hAnsi="Times New Roman" w:cs="Times New Roman"/>
          <w:sz w:val="24"/>
          <w:szCs w:val="24"/>
          <w:lang w:eastAsia="ar-SA"/>
        </w:rPr>
      </w:pPr>
      <w:r w:rsidRPr="00A330D4">
        <w:rPr>
          <w:rFonts w:ascii="Times New Roman" w:eastAsia="Calibri" w:hAnsi="Times New Roman" w:cs="Times New Roman"/>
          <w:sz w:val="24"/>
          <w:szCs w:val="24"/>
          <w:lang w:eastAsia="ar-SA"/>
        </w:rPr>
        <w:t xml:space="preserve">Prihodi iz državnog proračuna temeljem prijenosa EU sredstava </w:t>
      </w:r>
      <w:r w:rsidR="000C5685" w:rsidRPr="00A330D4">
        <w:rPr>
          <w:rFonts w:ascii="Times New Roman" w:eastAsia="Calibri" w:hAnsi="Times New Roman" w:cs="Times New Roman"/>
          <w:sz w:val="24"/>
          <w:szCs w:val="24"/>
          <w:lang w:eastAsia="ar-SA"/>
        </w:rPr>
        <w:t xml:space="preserve">ostvareni </w:t>
      </w:r>
      <w:r w:rsidRPr="00A330D4">
        <w:rPr>
          <w:rFonts w:ascii="Times New Roman" w:eastAsia="Calibri" w:hAnsi="Times New Roman" w:cs="Times New Roman"/>
          <w:sz w:val="24"/>
          <w:szCs w:val="24"/>
          <w:lang w:eastAsia="ar-SA"/>
        </w:rPr>
        <w:t xml:space="preserve">su temeljem </w:t>
      </w:r>
      <w:r w:rsidRPr="00A330D4">
        <w:rPr>
          <w:rFonts w:ascii="Times New Roman" w:hAnsi="Times New Roman" w:cs="Times New Roman"/>
          <w:sz w:val="24"/>
          <w:szCs w:val="24"/>
          <w:shd w:val="clear" w:color="auto" w:fill="FFFFFF"/>
        </w:rPr>
        <w:t xml:space="preserve">Sporazuma o dodjeli bespovratnih sredstava u provedbi jačanja kapaciteta na regionalnoj i lokalnoj razini za korištenje sredstava EU fondova Ministarstva regionalnoga razvoja i fondova EU i </w:t>
      </w:r>
      <w:r w:rsidRPr="00A330D4">
        <w:rPr>
          <w:rFonts w:ascii="Times New Roman" w:eastAsia="Calibri" w:hAnsi="Times New Roman" w:cs="Times New Roman"/>
          <w:sz w:val="24"/>
          <w:szCs w:val="24"/>
          <w:lang w:eastAsia="ar-SA"/>
        </w:rPr>
        <w:t xml:space="preserve">po projektu „UZ PORU PO POTPORU“. Pomoći od institucija i tijela EU ostvareni </w:t>
      </w:r>
    </w:p>
    <w:p w14:paraId="0088E76C" w14:textId="776EA0B8" w:rsidR="000C5685" w:rsidRPr="00A330D4" w:rsidRDefault="000C5685" w:rsidP="000C5685">
      <w:pPr>
        <w:spacing w:after="0" w:line="240" w:lineRule="auto"/>
        <w:jc w:val="both"/>
        <w:rPr>
          <w:rFonts w:ascii="Times New Roman" w:hAnsi="Times New Roman" w:cs="Times New Roman"/>
          <w:sz w:val="24"/>
          <w:szCs w:val="24"/>
          <w:shd w:val="clear" w:color="auto" w:fill="FFFFFF"/>
        </w:rPr>
      </w:pPr>
      <w:r w:rsidRPr="00A330D4">
        <w:rPr>
          <w:rFonts w:ascii="Times New Roman" w:eastAsia="Calibri" w:hAnsi="Times New Roman" w:cs="Times New Roman"/>
          <w:sz w:val="24"/>
          <w:szCs w:val="24"/>
          <w:lang w:eastAsia="ar-SA"/>
        </w:rPr>
        <w:t>su po projektima „</w:t>
      </w:r>
      <w:r w:rsidRPr="00A330D4">
        <w:rPr>
          <w:rFonts w:ascii="Times New Roman" w:hAnsi="Times New Roman" w:cs="Times New Roman"/>
          <w:sz w:val="24"/>
          <w:szCs w:val="24"/>
          <w:shd w:val="clear" w:color="auto" w:fill="FFFFFF"/>
        </w:rPr>
        <w:t>TOURBO – Usmjeravanje mikro, malih i srednjih poduzetnika (MSP-ova) prema digitalnoj i zelenoj tranziciji u turizmu</w:t>
      </w:r>
      <w:r w:rsidR="00804BA9" w:rsidRPr="00A330D4">
        <w:rPr>
          <w:rFonts w:ascii="Times New Roman" w:hAnsi="Times New Roman" w:cs="Times New Roman"/>
          <w:sz w:val="24"/>
          <w:szCs w:val="24"/>
          <w:shd w:val="clear" w:color="auto" w:fill="FFFFFF"/>
        </w:rPr>
        <w:t xml:space="preserve">“ </w:t>
      </w:r>
      <w:r w:rsidRPr="00A330D4">
        <w:rPr>
          <w:rFonts w:ascii="Times New Roman" w:eastAsia="Calibri" w:hAnsi="Times New Roman" w:cs="Times New Roman"/>
          <w:sz w:val="24"/>
          <w:szCs w:val="24"/>
        </w:rPr>
        <w:t>i</w:t>
      </w:r>
      <w:r w:rsidRPr="00A330D4">
        <w:rPr>
          <w:rFonts w:ascii="Times New Roman" w:eastAsia="Calibri" w:hAnsi="Times New Roman" w:cs="Times New Roman"/>
          <w:sz w:val="24"/>
          <w:szCs w:val="24"/>
          <w:lang w:eastAsia="ar-SA"/>
        </w:rPr>
        <w:t xml:space="preserve"> Europe Direct Koprivničko-križevačke županije</w:t>
      </w:r>
      <w:r w:rsidR="009E46BC" w:rsidRPr="00A330D4">
        <w:rPr>
          <w:rFonts w:ascii="Times New Roman" w:eastAsia="Calibri" w:hAnsi="Times New Roman" w:cs="Times New Roman"/>
          <w:sz w:val="24"/>
          <w:szCs w:val="24"/>
          <w:lang w:eastAsia="ar-SA"/>
        </w:rPr>
        <w:t>.</w:t>
      </w:r>
      <w:r w:rsidRPr="00A330D4">
        <w:rPr>
          <w:rFonts w:ascii="Times New Roman" w:eastAsia="Calibri" w:hAnsi="Times New Roman" w:cs="Times New Roman"/>
          <w:sz w:val="24"/>
          <w:szCs w:val="24"/>
          <w:lang w:eastAsia="ar-SA"/>
        </w:rPr>
        <w:t xml:space="preserve"> </w:t>
      </w:r>
    </w:p>
    <w:p w14:paraId="1F22C58C" w14:textId="77777777" w:rsidR="000C5685" w:rsidRDefault="000C5685" w:rsidP="000C5685">
      <w:pPr>
        <w:spacing w:after="0" w:line="240" w:lineRule="auto"/>
        <w:jc w:val="both"/>
        <w:rPr>
          <w:rFonts w:ascii="Times New Roman" w:hAnsi="Times New Roman" w:cs="Times New Roman"/>
          <w:color w:val="0D0D0D"/>
          <w:shd w:val="clear" w:color="auto" w:fill="FFFFFF"/>
        </w:rPr>
      </w:pPr>
    </w:p>
    <w:p w14:paraId="3685E6D0" w14:textId="77777777" w:rsidR="00356B27" w:rsidRPr="00E721E2" w:rsidRDefault="00356B27" w:rsidP="000C5685">
      <w:pPr>
        <w:spacing w:after="0" w:line="240" w:lineRule="auto"/>
        <w:jc w:val="both"/>
        <w:rPr>
          <w:rFonts w:ascii="Times New Roman" w:hAnsi="Times New Roman" w:cs="Times New Roman"/>
          <w:color w:val="0D0D0D"/>
          <w:shd w:val="clear" w:color="auto" w:fill="FFFFFF"/>
        </w:rPr>
      </w:pPr>
    </w:p>
    <w:p w14:paraId="7F7E04E9" w14:textId="295923FD" w:rsidR="00803102" w:rsidRPr="00E85B68" w:rsidRDefault="00E85B68" w:rsidP="00CD188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3.1.5</w:t>
      </w:r>
      <w:r w:rsidR="00CD188B" w:rsidRPr="00E85B68">
        <w:rPr>
          <w:rFonts w:ascii="Times New Roman" w:hAnsi="Times New Roman" w:cs="Times New Roman"/>
          <w:b/>
          <w:bCs/>
          <w:sz w:val="24"/>
          <w:szCs w:val="24"/>
        </w:rPr>
        <w:t xml:space="preserve">. </w:t>
      </w:r>
      <w:r w:rsidR="00803102" w:rsidRPr="00E85B68">
        <w:rPr>
          <w:rFonts w:ascii="Times New Roman" w:hAnsi="Times New Roman" w:cs="Times New Roman"/>
          <w:b/>
          <w:bCs/>
          <w:sz w:val="24"/>
          <w:szCs w:val="24"/>
        </w:rPr>
        <w:t>REZULTAT POSLOVANJA</w:t>
      </w:r>
    </w:p>
    <w:p w14:paraId="208F5602" w14:textId="77777777" w:rsidR="00803102" w:rsidRPr="00E721E2" w:rsidRDefault="00803102" w:rsidP="00803102">
      <w:pPr>
        <w:spacing w:after="0" w:line="240" w:lineRule="auto"/>
        <w:rPr>
          <w:rFonts w:ascii="Times New Roman" w:hAnsi="Times New Roman" w:cs="Times New Roman"/>
          <w:sz w:val="24"/>
          <w:szCs w:val="24"/>
        </w:rPr>
      </w:pPr>
    </w:p>
    <w:p w14:paraId="35E34BD7" w14:textId="41DD8B98" w:rsidR="00803102" w:rsidRPr="00E721E2" w:rsidRDefault="00803102" w:rsidP="00803102">
      <w:pPr>
        <w:spacing w:after="0" w:line="240" w:lineRule="auto"/>
        <w:jc w:val="both"/>
        <w:rPr>
          <w:rFonts w:ascii="Times New Roman" w:hAnsi="Times New Roman"/>
          <w:bCs/>
          <w:sz w:val="24"/>
          <w:szCs w:val="24"/>
        </w:rPr>
      </w:pPr>
      <w:r w:rsidRPr="00E721E2">
        <w:rPr>
          <w:rFonts w:ascii="Times New Roman" w:hAnsi="Times New Roman"/>
          <w:bCs/>
          <w:sz w:val="24"/>
          <w:szCs w:val="24"/>
        </w:rPr>
        <w:t xml:space="preserve">      Tablica </w:t>
      </w:r>
      <w:r w:rsidR="00024391">
        <w:rPr>
          <w:rFonts w:ascii="Times New Roman" w:hAnsi="Times New Roman"/>
          <w:bCs/>
          <w:sz w:val="24"/>
          <w:szCs w:val="24"/>
        </w:rPr>
        <w:t>8</w:t>
      </w:r>
      <w:r w:rsidRPr="00E721E2">
        <w:rPr>
          <w:rFonts w:ascii="Times New Roman" w:hAnsi="Times New Roman"/>
          <w:bCs/>
          <w:sz w:val="24"/>
          <w:szCs w:val="24"/>
        </w:rPr>
        <w:t>. Struktura viška/manjka za razdoblje 01.01.-3</w:t>
      </w:r>
      <w:r w:rsidR="00EB4D90">
        <w:rPr>
          <w:rFonts w:ascii="Times New Roman" w:hAnsi="Times New Roman"/>
          <w:bCs/>
          <w:sz w:val="24"/>
          <w:szCs w:val="24"/>
        </w:rPr>
        <w:t>1</w:t>
      </w:r>
      <w:r w:rsidRPr="00E721E2">
        <w:rPr>
          <w:rFonts w:ascii="Times New Roman" w:hAnsi="Times New Roman"/>
          <w:bCs/>
          <w:sz w:val="24"/>
          <w:szCs w:val="24"/>
        </w:rPr>
        <w:t>.</w:t>
      </w:r>
      <w:r w:rsidR="00EB4D90">
        <w:rPr>
          <w:rFonts w:ascii="Times New Roman" w:hAnsi="Times New Roman"/>
          <w:bCs/>
          <w:sz w:val="24"/>
          <w:szCs w:val="24"/>
        </w:rPr>
        <w:t>12</w:t>
      </w:r>
      <w:r w:rsidRPr="00E721E2">
        <w:rPr>
          <w:rFonts w:ascii="Times New Roman" w:hAnsi="Times New Roman"/>
          <w:bCs/>
          <w:sz w:val="24"/>
          <w:szCs w:val="24"/>
        </w:rPr>
        <w:t>.202</w:t>
      </w:r>
      <w:r w:rsidR="00DF0E3B" w:rsidRPr="00E721E2">
        <w:rPr>
          <w:rFonts w:ascii="Times New Roman" w:hAnsi="Times New Roman"/>
          <w:bCs/>
          <w:sz w:val="24"/>
          <w:szCs w:val="24"/>
        </w:rPr>
        <w:t>4</w:t>
      </w:r>
      <w:r w:rsidRPr="00E721E2">
        <w:rPr>
          <w:rFonts w:ascii="Times New Roman" w:hAnsi="Times New Roman"/>
          <w:bCs/>
          <w:sz w:val="24"/>
          <w:szCs w:val="24"/>
        </w:rPr>
        <w:t>.</w:t>
      </w:r>
    </w:p>
    <w:tbl>
      <w:tblPr>
        <w:tblW w:w="0" w:type="auto"/>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firstRow="1" w:lastRow="0" w:firstColumn="1" w:lastColumn="0" w:noHBand="0" w:noVBand="1"/>
      </w:tblPr>
      <w:tblGrid>
        <w:gridCol w:w="4710"/>
        <w:gridCol w:w="3544"/>
      </w:tblGrid>
      <w:tr w:rsidR="00803102" w:rsidRPr="00E721E2" w14:paraId="79531797" w14:textId="77777777" w:rsidTr="00C15CC1">
        <w:trPr>
          <w:trHeight w:val="330"/>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B4C6E7" w:themeFill="accent1" w:themeFillTint="66"/>
            <w:vAlign w:val="center"/>
            <w:hideMark/>
          </w:tcPr>
          <w:p w14:paraId="6BE14B06" w14:textId="77777777" w:rsidR="00803102" w:rsidRPr="00E721E2" w:rsidRDefault="00803102" w:rsidP="00C15CC1">
            <w:pPr>
              <w:snapToGrid w:val="0"/>
              <w:spacing w:after="0" w:line="240" w:lineRule="auto"/>
              <w:rPr>
                <w:rFonts w:ascii="Times New Roman" w:hAnsi="Times New Roman"/>
                <w:b/>
                <w:sz w:val="21"/>
                <w:szCs w:val="21"/>
              </w:rPr>
            </w:pPr>
            <w:r w:rsidRPr="00E721E2">
              <w:rPr>
                <w:rFonts w:ascii="Times New Roman" w:hAnsi="Times New Roman"/>
                <w:b/>
              </w:rPr>
              <w:t>REKAPITULACIJA:</w:t>
            </w:r>
          </w:p>
        </w:tc>
        <w:tc>
          <w:tcPr>
            <w:tcW w:w="3544" w:type="dxa"/>
            <w:tcBorders>
              <w:top w:val="double" w:sz="4" w:space="0" w:color="000000"/>
              <w:left w:val="single" w:sz="6" w:space="0" w:color="000000"/>
              <w:bottom w:val="double" w:sz="4" w:space="0" w:color="000000"/>
              <w:right w:val="double" w:sz="4" w:space="0" w:color="000000"/>
            </w:tcBorders>
            <w:shd w:val="clear" w:color="auto" w:fill="B4C6E7" w:themeFill="accent1" w:themeFillTint="66"/>
            <w:vAlign w:val="center"/>
            <w:hideMark/>
          </w:tcPr>
          <w:p w14:paraId="3D080FCE" w14:textId="0BD4AF58" w:rsidR="00803102" w:rsidRPr="00E721E2" w:rsidRDefault="00803102" w:rsidP="00C15CC1">
            <w:pPr>
              <w:snapToGrid w:val="0"/>
              <w:spacing w:after="0" w:line="240" w:lineRule="auto"/>
              <w:jc w:val="right"/>
              <w:rPr>
                <w:rFonts w:ascii="Times New Roman" w:hAnsi="Times New Roman"/>
                <w:b/>
              </w:rPr>
            </w:pPr>
            <w:r w:rsidRPr="00E721E2">
              <w:rPr>
                <w:rFonts w:ascii="Times New Roman" w:hAnsi="Times New Roman"/>
                <w:b/>
              </w:rPr>
              <w:t>01.01.-3</w:t>
            </w:r>
            <w:r w:rsidR="00DF0E3B" w:rsidRPr="00E721E2">
              <w:rPr>
                <w:rFonts w:ascii="Times New Roman" w:hAnsi="Times New Roman"/>
                <w:b/>
              </w:rPr>
              <w:t>0</w:t>
            </w:r>
            <w:r w:rsidRPr="00E721E2">
              <w:rPr>
                <w:rFonts w:ascii="Times New Roman" w:hAnsi="Times New Roman"/>
                <w:b/>
              </w:rPr>
              <w:t>.</w:t>
            </w:r>
            <w:r w:rsidR="00EB4D90">
              <w:rPr>
                <w:rFonts w:ascii="Times New Roman" w:hAnsi="Times New Roman"/>
                <w:b/>
              </w:rPr>
              <w:t>12</w:t>
            </w:r>
            <w:r w:rsidRPr="00E721E2">
              <w:rPr>
                <w:rFonts w:ascii="Times New Roman" w:hAnsi="Times New Roman"/>
                <w:b/>
              </w:rPr>
              <w:t>.202</w:t>
            </w:r>
            <w:r w:rsidR="00DF0E3B" w:rsidRPr="00E721E2">
              <w:rPr>
                <w:rFonts w:ascii="Times New Roman" w:hAnsi="Times New Roman"/>
                <w:b/>
              </w:rPr>
              <w:t>4</w:t>
            </w:r>
            <w:r w:rsidRPr="00E721E2">
              <w:rPr>
                <w:rFonts w:ascii="Times New Roman" w:hAnsi="Times New Roman"/>
                <w:b/>
              </w:rPr>
              <w:t xml:space="preserve">. </w:t>
            </w:r>
          </w:p>
        </w:tc>
      </w:tr>
      <w:tr w:rsidR="00803102" w:rsidRPr="00E721E2" w14:paraId="56A50761" w14:textId="77777777" w:rsidTr="00C15CC1">
        <w:trPr>
          <w:trHeight w:val="330"/>
          <w:jc w:val="center"/>
        </w:trPr>
        <w:tc>
          <w:tcPr>
            <w:tcW w:w="4710" w:type="dxa"/>
            <w:tcBorders>
              <w:top w:val="double" w:sz="4" w:space="0" w:color="000000"/>
              <w:left w:val="double" w:sz="4" w:space="0" w:color="000000"/>
              <w:bottom w:val="single" w:sz="6" w:space="0" w:color="000000"/>
              <w:right w:val="single" w:sz="6" w:space="0" w:color="000000"/>
            </w:tcBorders>
            <w:vAlign w:val="center"/>
            <w:hideMark/>
          </w:tcPr>
          <w:p w14:paraId="03BD002F" w14:textId="320F90C9" w:rsidR="00803102" w:rsidRPr="00E721E2" w:rsidRDefault="00803102" w:rsidP="00C15CC1">
            <w:pPr>
              <w:snapToGrid w:val="0"/>
              <w:spacing w:after="0" w:line="240" w:lineRule="auto"/>
              <w:rPr>
                <w:rFonts w:ascii="Times New Roman" w:hAnsi="Times New Roman"/>
              </w:rPr>
            </w:pPr>
            <w:r w:rsidRPr="00E721E2">
              <w:rPr>
                <w:rFonts w:ascii="Times New Roman" w:hAnsi="Times New Roman"/>
              </w:rPr>
              <w:t>TEKUĆI PRIHODI 202</w:t>
            </w:r>
            <w:r w:rsidR="00D05132" w:rsidRPr="00E721E2">
              <w:rPr>
                <w:rFonts w:ascii="Times New Roman" w:hAnsi="Times New Roman"/>
              </w:rPr>
              <w:t>4</w:t>
            </w:r>
            <w:r w:rsidRPr="00E721E2">
              <w:rPr>
                <w:rFonts w:ascii="Times New Roman" w:hAnsi="Times New Roman"/>
              </w:rPr>
              <w:t>.</w:t>
            </w:r>
          </w:p>
        </w:tc>
        <w:tc>
          <w:tcPr>
            <w:tcW w:w="3544" w:type="dxa"/>
            <w:tcBorders>
              <w:top w:val="double" w:sz="4" w:space="0" w:color="000000"/>
              <w:left w:val="single" w:sz="6" w:space="0" w:color="000000"/>
              <w:bottom w:val="single" w:sz="6" w:space="0" w:color="000000"/>
              <w:right w:val="double" w:sz="4" w:space="0" w:color="000000"/>
            </w:tcBorders>
            <w:vAlign w:val="center"/>
            <w:hideMark/>
          </w:tcPr>
          <w:p w14:paraId="04BCB629" w14:textId="71750C02" w:rsidR="00803102" w:rsidRPr="00E721E2" w:rsidRDefault="00F97EF0" w:rsidP="00C15CC1">
            <w:pPr>
              <w:snapToGrid w:val="0"/>
              <w:spacing w:after="0" w:line="240" w:lineRule="auto"/>
              <w:jc w:val="right"/>
              <w:rPr>
                <w:rFonts w:ascii="Times New Roman" w:hAnsi="Times New Roman"/>
                <w:bCs/>
              </w:rPr>
            </w:pPr>
            <w:r>
              <w:rPr>
                <w:rFonts w:ascii="Times New Roman" w:hAnsi="Times New Roman"/>
                <w:b/>
                <w:bCs/>
              </w:rPr>
              <w:t>825.485,50</w:t>
            </w:r>
          </w:p>
        </w:tc>
      </w:tr>
      <w:tr w:rsidR="00803102" w:rsidRPr="00E721E2" w14:paraId="58D8617B" w14:textId="77777777" w:rsidTr="00C15CC1">
        <w:trPr>
          <w:trHeight w:val="330"/>
          <w:jc w:val="center"/>
        </w:trPr>
        <w:tc>
          <w:tcPr>
            <w:tcW w:w="4710" w:type="dxa"/>
            <w:tcBorders>
              <w:top w:val="single" w:sz="6" w:space="0" w:color="000000"/>
              <w:left w:val="double" w:sz="4" w:space="0" w:color="000000"/>
              <w:bottom w:val="double" w:sz="4" w:space="0" w:color="000000"/>
              <w:right w:val="single" w:sz="6" w:space="0" w:color="000000"/>
            </w:tcBorders>
            <w:vAlign w:val="center"/>
            <w:hideMark/>
          </w:tcPr>
          <w:p w14:paraId="1418EED4" w14:textId="11FD4151" w:rsidR="00803102" w:rsidRPr="00E721E2" w:rsidRDefault="00803102" w:rsidP="00C15CC1">
            <w:pPr>
              <w:snapToGrid w:val="0"/>
              <w:spacing w:after="0" w:line="240" w:lineRule="auto"/>
              <w:rPr>
                <w:rFonts w:ascii="Times New Roman" w:hAnsi="Times New Roman"/>
              </w:rPr>
            </w:pPr>
            <w:r w:rsidRPr="00E721E2">
              <w:rPr>
                <w:rFonts w:ascii="Times New Roman" w:hAnsi="Times New Roman"/>
              </w:rPr>
              <w:t>TEKUĆI RASHODI 202</w:t>
            </w:r>
            <w:r w:rsidR="00D05132" w:rsidRPr="00E721E2">
              <w:rPr>
                <w:rFonts w:ascii="Times New Roman" w:hAnsi="Times New Roman"/>
              </w:rPr>
              <w:t>4</w:t>
            </w:r>
            <w:r w:rsidRPr="00E721E2">
              <w:rPr>
                <w:rFonts w:ascii="Times New Roman" w:hAnsi="Times New Roman"/>
              </w:rPr>
              <w:t>.</w:t>
            </w:r>
          </w:p>
        </w:tc>
        <w:tc>
          <w:tcPr>
            <w:tcW w:w="3544" w:type="dxa"/>
            <w:tcBorders>
              <w:top w:val="single" w:sz="6" w:space="0" w:color="000000"/>
              <w:left w:val="single" w:sz="6" w:space="0" w:color="000000"/>
              <w:bottom w:val="double" w:sz="4" w:space="0" w:color="000000"/>
              <w:right w:val="double" w:sz="4" w:space="0" w:color="000000"/>
            </w:tcBorders>
            <w:vAlign w:val="center"/>
            <w:hideMark/>
          </w:tcPr>
          <w:p w14:paraId="1B8F05A6" w14:textId="08C80B87" w:rsidR="00803102" w:rsidRPr="00E721E2" w:rsidRDefault="00F97EF0" w:rsidP="00C15CC1">
            <w:pPr>
              <w:snapToGrid w:val="0"/>
              <w:spacing w:after="0" w:line="240" w:lineRule="auto"/>
              <w:jc w:val="right"/>
              <w:rPr>
                <w:rFonts w:ascii="Times New Roman" w:hAnsi="Times New Roman"/>
                <w:b/>
                <w:bCs/>
              </w:rPr>
            </w:pPr>
            <w:r>
              <w:rPr>
                <w:rFonts w:ascii="Times New Roman" w:hAnsi="Times New Roman" w:cs="Times New Roman"/>
                <w:b/>
                <w:bCs/>
              </w:rPr>
              <w:t>737.</w:t>
            </w:r>
            <w:r w:rsidR="005F6A62">
              <w:rPr>
                <w:rFonts w:ascii="Times New Roman" w:hAnsi="Times New Roman" w:cs="Times New Roman"/>
                <w:b/>
                <w:bCs/>
              </w:rPr>
              <w:t>957,17</w:t>
            </w:r>
          </w:p>
        </w:tc>
      </w:tr>
      <w:tr w:rsidR="00803102" w:rsidRPr="00E721E2" w14:paraId="00DDAA97" w14:textId="77777777" w:rsidTr="00C15CC1">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hideMark/>
          </w:tcPr>
          <w:p w14:paraId="0020A406" w14:textId="1F3984DE" w:rsidR="00803102" w:rsidRPr="00E721E2" w:rsidRDefault="00D05132" w:rsidP="00C15CC1">
            <w:pPr>
              <w:tabs>
                <w:tab w:val="center" w:pos="4536"/>
                <w:tab w:val="right" w:pos="9072"/>
              </w:tabs>
              <w:snapToGrid w:val="0"/>
              <w:spacing w:after="0" w:line="240" w:lineRule="auto"/>
              <w:rPr>
                <w:rFonts w:ascii="Times New Roman" w:hAnsi="Times New Roman"/>
                <w:b/>
              </w:rPr>
            </w:pPr>
            <w:r w:rsidRPr="00E721E2">
              <w:rPr>
                <w:rFonts w:ascii="Times New Roman" w:hAnsi="Times New Roman"/>
                <w:b/>
              </w:rPr>
              <w:t>VIŠAK</w:t>
            </w:r>
            <w:r w:rsidR="00803102" w:rsidRPr="00E721E2">
              <w:rPr>
                <w:rFonts w:ascii="Times New Roman" w:hAnsi="Times New Roman"/>
                <w:b/>
              </w:rPr>
              <w:t xml:space="preserve"> TEKUĆEG RAZDOBLJA</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hideMark/>
          </w:tcPr>
          <w:p w14:paraId="7F4122B6" w14:textId="43B58EDE" w:rsidR="00803102" w:rsidRPr="00E721E2" w:rsidRDefault="00F97EF0" w:rsidP="00C15CC1">
            <w:pPr>
              <w:tabs>
                <w:tab w:val="left" w:pos="195"/>
                <w:tab w:val="center" w:pos="813"/>
                <w:tab w:val="right" w:pos="1627"/>
              </w:tabs>
              <w:snapToGrid w:val="0"/>
              <w:spacing w:after="0" w:line="240" w:lineRule="auto"/>
              <w:jc w:val="right"/>
              <w:rPr>
                <w:rFonts w:ascii="Times New Roman" w:hAnsi="Times New Roman"/>
                <w:b/>
                <w:bCs/>
              </w:rPr>
            </w:pPr>
            <w:r>
              <w:rPr>
                <w:rFonts w:ascii="Times New Roman" w:hAnsi="Times New Roman"/>
                <w:b/>
                <w:bCs/>
              </w:rPr>
              <w:t>87.528,33</w:t>
            </w:r>
          </w:p>
        </w:tc>
      </w:tr>
      <w:tr w:rsidR="00803102" w:rsidRPr="00E721E2" w14:paraId="73FDCF73" w14:textId="77777777" w:rsidTr="00C15CC1">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tcPr>
          <w:p w14:paraId="52E61821" w14:textId="24576F28" w:rsidR="00803102" w:rsidRPr="00E721E2" w:rsidRDefault="00803102" w:rsidP="00C15CC1">
            <w:pPr>
              <w:tabs>
                <w:tab w:val="center" w:pos="4536"/>
                <w:tab w:val="right" w:pos="9072"/>
              </w:tabs>
              <w:snapToGrid w:val="0"/>
              <w:spacing w:after="0" w:line="240" w:lineRule="auto"/>
              <w:rPr>
                <w:rFonts w:ascii="Times New Roman" w:hAnsi="Times New Roman"/>
                <w:b/>
              </w:rPr>
            </w:pPr>
            <w:r w:rsidRPr="00E721E2">
              <w:rPr>
                <w:rFonts w:ascii="Times New Roman" w:hAnsi="Times New Roman"/>
                <w:b/>
              </w:rPr>
              <w:t xml:space="preserve">PRENESENI </w:t>
            </w:r>
            <w:r w:rsidR="003E456B" w:rsidRPr="00E721E2">
              <w:rPr>
                <w:rFonts w:ascii="Times New Roman" w:hAnsi="Times New Roman"/>
                <w:b/>
              </w:rPr>
              <w:t>MANJAK</w:t>
            </w:r>
            <w:r w:rsidRPr="00E721E2">
              <w:rPr>
                <w:rFonts w:ascii="Times New Roman" w:hAnsi="Times New Roman"/>
                <w:b/>
              </w:rPr>
              <w:t xml:space="preserve"> IZ PRETHODNIH GODINA</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tcPr>
          <w:p w14:paraId="60388972" w14:textId="6A441706" w:rsidR="00803102" w:rsidRPr="00E721E2" w:rsidRDefault="00D05132" w:rsidP="00C15CC1">
            <w:pPr>
              <w:tabs>
                <w:tab w:val="left" w:pos="195"/>
                <w:tab w:val="center" w:pos="813"/>
                <w:tab w:val="right" w:pos="1627"/>
              </w:tabs>
              <w:snapToGrid w:val="0"/>
              <w:spacing w:after="0" w:line="240" w:lineRule="auto"/>
              <w:ind w:left="720"/>
              <w:contextualSpacing/>
              <w:jc w:val="right"/>
              <w:rPr>
                <w:rFonts w:ascii="Times New Roman" w:hAnsi="Times New Roman"/>
                <w:b/>
                <w:bCs/>
              </w:rPr>
            </w:pPr>
            <w:r w:rsidRPr="00E721E2">
              <w:rPr>
                <w:rFonts w:ascii="Times New Roman" w:hAnsi="Times New Roman"/>
                <w:b/>
                <w:bCs/>
              </w:rPr>
              <w:t>-66.166,21</w:t>
            </w:r>
          </w:p>
        </w:tc>
      </w:tr>
      <w:tr w:rsidR="00803102" w:rsidRPr="00E721E2" w14:paraId="19C0226C" w14:textId="77777777" w:rsidTr="00C15CC1">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tcPr>
          <w:p w14:paraId="6B0C6456" w14:textId="77777777" w:rsidR="00803102" w:rsidRPr="00E721E2" w:rsidRDefault="00803102" w:rsidP="00C15CC1">
            <w:pPr>
              <w:tabs>
                <w:tab w:val="center" w:pos="4536"/>
                <w:tab w:val="right" w:pos="9072"/>
              </w:tabs>
              <w:snapToGrid w:val="0"/>
              <w:spacing w:after="0" w:line="240" w:lineRule="auto"/>
              <w:rPr>
                <w:rFonts w:ascii="Times New Roman" w:hAnsi="Times New Roman"/>
                <w:b/>
              </w:rPr>
            </w:pPr>
            <w:r w:rsidRPr="00E721E2">
              <w:rPr>
                <w:rFonts w:ascii="Times New Roman" w:hAnsi="Times New Roman"/>
                <w:b/>
              </w:rPr>
              <w:t xml:space="preserve">KOREKCIJA REZULTATA* </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tcPr>
          <w:p w14:paraId="5572374B" w14:textId="2C5C3048" w:rsidR="00803102" w:rsidRPr="00E721E2" w:rsidRDefault="00F97EF0" w:rsidP="00871F69">
            <w:pPr>
              <w:pStyle w:val="ListParagraph"/>
              <w:numPr>
                <w:ilvl w:val="0"/>
                <w:numId w:val="2"/>
              </w:numPr>
              <w:tabs>
                <w:tab w:val="left" w:pos="195"/>
                <w:tab w:val="center" w:pos="813"/>
                <w:tab w:val="right" w:pos="1627"/>
              </w:tabs>
              <w:snapToGrid w:val="0"/>
              <w:spacing w:after="0" w:line="240" w:lineRule="auto"/>
              <w:jc w:val="right"/>
              <w:rPr>
                <w:rFonts w:ascii="Times New Roman" w:hAnsi="Times New Roman"/>
                <w:b/>
                <w:bCs/>
              </w:rPr>
            </w:pPr>
            <w:r>
              <w:rPr>
                <w:rFonts w:ascii="Times New Roman" w:hAnsi="Times New Roman"/>
                <w:b/>
                <w:bCs/>
              </w:rPr>
              <w:t>98.469,24</w:t>
            </w:r>
          </w:p>
        </w:tc>
      </w:tr>
      <w:tr w:rsidR="00803102" w:rsidRPr="00E721E2" w14:paraId="242D124F" w14:textId="77777777" w:rsidTr="00C15CC1">
        <w:trPr>
          <w:trHeight w:val="439"/>
          <w:jc w:val="center"/>
        </w:trPr>
        <w:tc>
          <w:tcPr>
            <w:tcW w:w="4710" w:type="dxa"/>
            <w:tcBorders>
              <w:top w:val="double" w:sz="4" w:space="0" w:color="000000"/>
              <w:left w:val="double" w:sz="4" w:space="0" w:color="000000"/>
              <w:bottom w:val="double" w:sz="4" w:space="0" w:color="000000"/>
              <w:right w:val="single" w:sz="6" w:space="0" w:color="000000"/>
            </w:tcBorders>
            <w:shd w:val="clear" w:color="auto" w:fill="D9E2F3" w:themeFill="accent1" w:themeFillTint="33"/>
            <w:vAlign w:val="center"/>
            <w:hideMark/>
          </w:tcPr>
          <w:p w14:paraId="7AF54B78" w14:textId="458F7624" w:rsidR="00803102" w:rsidRPr="00E721E2" w:rsidRDefault="00803102" w:rsidP="00C15CC1">
            <w:pPr>
              <w:tabs>
                <w:tab w:val="center" w:pos="4536"/>
                <w:tab w:val="right" w:pos="9072"/>
              </w:tabs>
              <w:snapToGrid w:val="0"/>
              <w:spacing w:after="0" w:line="240" w:lineRule="auto"/>
              <w:rPr>
                <w:rFonts w:ascii="Times New Roman" w:hAnsi="Times New Roman"/>
                <w:b/>
              </w:rPr>
            </w:pPr>
            <w:r w:rsidRPr="00E721E2">
              <w:rPr>
                <w:rFonts w:ascii="Times New Roman" w:hAnsi="Times New Roman"/>
                <w:b/>
              </w:rPr>
              <w:t xml:space="preserve">PRENESENI </w:t>
            </w:r>
            <w:r w:rsidR="0028724F" w:rsidRPr="00E721E2">
              <w:rPr>
                <w:rFonts w:ascii="Times New Roman" w:hAnsi="Times New Roman"/>
                <w:b/>
              </w:rPr>
              <w:t xml:space="preserve">MANJAK </w:t>
            </w:r>
            <w:r w:rsidRPr="00E721E2">
              <w:rPr>
                <w:rFonts w:ascii="Times New Roman" w:hAnsi="Times New Roman"/>
                <w:b/>
              </w:rPr>
              <w:t>ZA NAREDNO RAZDOBLJE</w:t>
            </w:r>
          </w:p>
        </w:tc>
        <w:tc>
          <w:tcPr>
            <w:tcW w:w="3544" w:type="dxa"/>
            <w:tcBorders>
              <w:top w:val="double" w:sz="4" w:space="0" w:color="000000"/>
              <w:left w:val="single" w:sz="6" w:space="0" w:color="000000"/>
              <w:bottom w:val="double" w:sz="4" w:space="0" w:color="000000"/>
              <w:right w:val="double" w:sz="4" w:space="0" w:color="000000"/>
            </w:tcBorders>
            <w:shd w:val="clear" w:color="auto" w:fill="D9E2F3" w:themeFill="accent1" w:themeFillTint="33"/>
            <w:vAlign w:val="center"/>
            <w:hideMark/>
          </w:tcPr>
          <w:p w14:paraId="2F5D2A50" w14:textId="4BCB541A" w:rsidR="00803102" w:rsidRPr="00E721E2" w:rsidRDefault="00D05132" w:rsidP="00871F69">
            <w:pPr>
              <w:pStyle w:val="ListParagraph"/>
              <w:numPr>
                <w:ilvl w:val="0"/>
                <w:numId w:val="2"/>
              </w:numPr>
              <w:tabs>
                <w:tab w:val="left" w:pos="195"/>
                <w:tab w:val="center" w:pos="813"/>
                <w:tab w:val="right" w:pos="1627"/>
              </w:tabs>
              <w:snapToGrid w:val="0"/>
              <w:spacing w:after="0" w:line="240" w:lineRule="auto"/>
              <w:jc w:val="right"/>
              <w:rPr>
                <w:rFonts w:ascii="Times New Roman" w:hAnsi="Times New Roman"/>
                <w:b/>
                <w:bCs/>
              </w:rPr>
            </w:pPr>
            <w:r w:rsidRPr="00E721E2">
              <w:rPr>
                <w:rFonts w:ascii="Times New Roman" w:hAnsi="Times New Roman"/>
                <w:b/>
                <w:bCs/>
              </w:rPr>
              <w:t>7</w:t>
            </w:r>
            <w:r w:rsidR="00F97EF0">
              <w:rPr>
                <w:rFonts w:ascii="Times New Roman" w:hAnsi="Times New Roman"/>
                <w:b/>
                <w:bCs/>
              </w:rPr>
              <w:t>7</w:t>
            </w:r>
            <w:r w:rsidRPr="00E721E2">
              <w:rPr>
                <w:rFonts w:ascii="Times New Roman" w:hAnsi="Times New Roman"/>
                <w:b/>
                <w:bCs/>
              </w:rPr>
              <w:t>.</w:t>
            </w:r>
            <w:r w:rsidR="00F97EF0">
              <w:rPr>
                <w:rFonts w:ascii="Times New Roman" w:hAnsi="Times New Roman"/>
                <w:b/>
                <w:bCs/>
              </w:rPr>
              <w:t>107,12</w:t>
            </w:r>
          </w:p>
        </w:tc>
      </w:tr>
    </w:tbl>
    <w:p w14:paraId="702432F8" w14:textId="77777777" w:rsidR="00803102" w:rsidRPr="00E721E2" w:rsidRDefault="00803102" w:rsidP="00803102">
      <w:pPr>
        <w:spacing w:after="0" w:line="240" w:lineRule="auto"/>
        <w:jc w:val="both"/>
        <w:rPr>
          <w:rFonts w:ascii="Times New Roman" w:hAnsi="Times New Roman" w:cs="Times New Roman"/>
          <w:color w:val="FF0000"/>
          <w:sz w:val="24"/>
          <w:szCs w:val="24"/>
          <w:shd w:val="clear" w:color="auto" w:fill="FFFFFF"/>
        </w:rPr>
      </w:pPr>
    </w:p>
    <w:p w14:paraId="6C5E75B9" w14:textId="48B6BB55" w:rsidR="00D04613" w:rsidRPr="00E721E2" w:rsidRDefault="00803102" w:rsidP="00D02AA6">
      <w:pPr>
        <w:suppressAutoHyphens/>
        <w:spacing w:after="0" w:line="240" w:lineRule="auto"/>
        <w:jc w:val="both"/>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 xml:space="preserve">Za razdoblje </w:t>
      </w:r>
      <w:r w:rsidR="00635CFC">
        <w:rPr>
          <w:rFonts w:ascii="Times New Roman" w:eastAsia="Calibri" w:hAnsi="Times New Roman" w:cs="Times New Roman"/>
          <w:sz w:val="24"/>
          <w:szCs w:val="24"/>
          <w:lang w:eastAsia="ar-SA"/>
        </w:rPr>
        <w:t xml:space="preserve">od </w:t>
      </w:r>
      <w:r w:rsidRPr="00E721E2">
        <w:rPr>
          <w:rFonts w:ascii="Times New Roman" w:eastAsia="Calibri" w:hAnsi="Times New Roman" w:cs="Times New Roman"/>
          <w:sz w:val="24"/>
          <w:szCs w:val="24"/>
          <w:lang w:eastAsia="ar-SA"/>
        </w:rPr>
        <w:t>01.01.</w:t>
      </w:r>
      <w:r w:rsidR="00635CFC">
        <w:rPr>
          <w:rFonts w:ascii="Times New Roman" w:eastAsia="Calibri" w:hAnsi="Times New Roman" w:cs="Times New Roman"/>
          <w:sz w:val="24"/>
          <w:szCs w:val="24"/>
          <w:lang w:eastAsia="ar-SA"/>
        </w:rPr>
        <w:t xml:space="preserve"> do </w:t>
      </w:r>
      <w:r w:rsidRPr="00E721E2">
        <w:rPr>
          <w:rFonts w:ascii="Times New Roman" w:eastAsia="Calibri" w:hAnsi="Times New Roman" w:cs="Times New Roman"/>
          <w:sz w:val="24"/>
          <w:szCs w:val="24"/>
          <w:lang w:eastAsia="ar-SA"/>
        </w:rPr>
        <w:t>3</w:t>
      </w:r>
      <w:r w:rsidR="005F6A62">
        <w:rPr>
          <w:rFonts w:ascii="Times New Roman" w:eastAsia="Calibri" w:hAnsi="Times New Roman" w:cs="Times New Roman"/>
          <w:sz w:val="24"/>
          <w:szCs w:val="24"/>
          <w:lang w:eastAsia="ar-SA"/>
        </w:rPr>
        <w:t>1</w:t>
      </w:r>
      <w:r w:rsidRPr="00E721E2">
        <w:rPr>
          <w:rFonts w:ascii="Times New Roman" w:eastAsia="Calibri" w:hAnsi="Times New Roman" w:cs="Times New Roman"/>
          <w:sz w:val="24"/>
          <w:szCs w:val="24"/>
          <w:lang w:eastAsia="ar-SA"/>
        </w:rPr>
        <w:t>.</w:t>
      </w:r>
      <w:r w:rsidR="005F6A62">
        <w:rPr>
          <w:rFonts w:ascii="Times New Roman" w:eastAsia="Calibri" w:hAnsi="Times New Roman" w:cs="Times New Roman"/>
          <w:sz w:val="24"/>
          <w:szCs w:val="24"/>
          <w:lang w:eastAsia="ar-SA"/>
        </w:rPr>
        <w:t>12</w:t>
      </w:r>
      <w:r w:rsidRPr="00E721E2">
        <w:rPr>
          <w:rFonts w:ascii="Times New Roman" w:eastAsia="Calibri" w:hAnsi="Times New Roman" w:cs="Times New Roman"/>
          <w:sz w:val="24"/>
          <w:szCs w:val="24"/>
          <w:lang w:eastAsia="ar-SA"/>
        </w:rPr>
        <w:t>.202</w:t>
      </w:r>
      <w:r w:rsidR="00D05132" w:rsidRPr="00E721E2">
        <w:rPr>
          <w:rFonts w:ascii="Times New Roman" w:eastAsia="Calibri" w:hAnsi="Times New Roman" w:cs="Times New Roman"/>
          <w:sz w:val="24"/>
          <w:szCs w:val="24"/>
          <w:lang w:eastAsia="ar-SA"/>
        </w:rPr>
        <w:t>4</w:t>
      </w:r>
      <w:r w:rsidRPr="00E721E2">
        <w:rPr>
          <w:rFonts w:ascii="Times New Roman" w:eastAsia="Calibri" w:hAnsi="Times New Roman" w:cs="Times New Roman"/>
          <w:sz w:val="24"/>
          <w:szCs w:val="24"/>
          <w:lang w:eastAsia="ar-SA"/>
        </w:rPr>
        <w:t xml:space="preserve">. godine ostvareni su ukupni prihodi i primici u iznosu od </w:t>
      </w:r>
      <w:r w:rsidR="005F6A62">
        <w:rPr>
          <w:rFonts w:ascii="Times New Roman" w:eastAsia="Calibri" w:hAnsi="Times New Roman" w:cs="Times New Roman"/>
          <w:sz w:val="24"/>
          <w:szCs w:val="24"/>
          <w:lang w:eastAsia="ar-SA"/>
        </w:rPr>
        <w:t>825.485,50</w:t>
      </w:r>
      <w:r w:rsidR="00A573E4" w:rsidRPr="00E721E2">
        <w:rPr>
          <w:rFonts w:ascii="Times New Roman" w:eastAsia="Calibri" w:hAnsi="Times New Roman" w:cs="Times New Roman"/>
          <w:sz w:val="24"/>
          <w:szCs w:val="24"/>
          <w:lang w:eastAsia="ar-SA"/>
        </w:rPr>
        <w:t xml:space="preserve"> eura</w:t>
      </w:r>
      <w:r w:rsidRPr="00E721E2">
        <w:rPr>
          <w:rFonts w:ascii="Times New Roman" w:eastAsia="Calibri" w:hAnsi="Times New Roman" w:cs="Times New Roman"/>
          <w:sz w:val="24"/>
          <w:szCs w:val="24"/>
          <w:lang w:eastAsia="ar-SA"/>
        </w:rPr>
        <w:t>,</w:t>
      </w:r>
      <w:r w:rsidR="00D04613" w:rsidRPr="00E721E2">
        <w:rPr>
          <w:rFonts w:ascii="Times New Roman" w:eastAsia="Calibri" w:hAnsi="Times New Roman" w:cs="Times New Roman"/>
          <w:sz w:val="24"/>
          <w:szCs w:val="24"/>
          <w:lang w:eastAsia="ar-SA"/>
        </w:rPr>
        <w:t xml:space="preserve"> od čega iz proračuna KKŽ </w:t>
      </w:r>
      <w:r w:rsidR="00CA6B30">
        <w:rPr>
          <w:rFonts w:ascii="Times New Roman" w:eastAsia="Calibri" w:hAnsi="Times New Roman" w:cs="Times New Roman"/>
          <w:sz w:val="24"/>
          <w:szCs w:val="24"/>
          <w:lang w:eastAsia="ar-SA"/>
        </w:rPr>
        <w:t>331.975,82</w:t>
      </w:r>
      <w:r w:rsidR="00D04613" w:rsidRPr="00E721E2">
        <w:rPr>
          <w:rFonts w:ascii="Times New Roman" w:eastAsia="Calibri" w:hAnsi="Times New Roman" w:cs="Times New Roman"/>
          <w:sz w:val="24"/>
          <w:szCs w:val="24"/>
          <w:lang w:eastAsia="ar-SA"/>
        </w:rPr>
        <w:t xml:space="preserve"> </w:t>
      </w:r>
      <w:r w:rsidR="004103BA" w:rsidRPr="00E721E2">
        <w:rPr>
          <w:rFonts w:ascii="Times New Roman" w:eastAsia="Calibri" w:hAnsi="Times New Roman" w:cs="Times New Roman"/>
          <w:sz w:val="24"/>
          <w:szCs w:val="24"/>
          <w:lang w:eastAsia="ar-SA"/>
        </w:rPr>
        <w:t>eura</w:t>
      </w:r>
      <w:r w:rsidR="00D04613" w:rsidRPr="00E721E2">
        <w:rPr>
          <w:rFonts w:ascii="Times New Roman" w:eastAsia="Calibri" w:hAnsi="Times New Roman" w:cs="Times New Roman"/>
          <w:sz w:val="24"/>
          <w:szCs w:val="24"/>
          <w:lang w:eastAsia="ar-SA"/>
        </w:rPr>
        <w:t xml:space="preserve"> ili </w:t>
      </w:r>
      <w:r w:rsidR="00CA6B30">
        <w:rPr>
          <w:rFonts w:ascii="Times New Roman" w:eastAsia="Calibri" w:hAnsi="Times New Roman" w:cs="Times New Roman"/>
          <w:sz w:val="24"/>
          <w:szCs w:val="24"/>
          <w:lang w:eastAsia="ar-SA"/>
        </w:rPr>
        <w:t>40,21</w:t>
      </w:r>
      <w:r w:rsidR="00D04613" w:rsidRPr="00E721E2">
        <w:rPr>
          <w:rFonts w:ascii="Times New Roman" w:eastAsia="Calibri" w:hAnsi="Times New Roman" w:cs="Times New Roman"/>
          <w:sz w:val="24"/>
          <w:szCs w:val="24"/>
          <w:lang w:eastAsia="ar-SA"/>
        </w:rPr>
        <w:t>%,</w:t>
      </w:r>
      <w:r w:rsidR="00D04613" w:rsidRPr="00E721E2">
        <w:rPr>
          <w:rFonts w:ascii="Times New Roman" w:eastAsia="Calibri" w:hAnsi="Times New Roman" w:cs="Times New Roman"/>
          <w:color w:val="FF0000"/>
          <w:sz w:val="24"/>
          <w:szCs w:val="24"/>
          <w:lang w:eastAsia="ar-SA"/>
        </w:rPr>
        <w:t xml:space="preserve"> </w:t>
      </w:r>
      <w:r w:rsidR="00D04613" w:rsidRPr="00E721E2">
        <w:rPr>
          <w:rFonts w:ascii="Times New Roman" w:eastAsia="Calibri" w:hAnsi="Times New Roman" w:cs="Times New Roman"/>
          <w:sz w:val="24"/>
          <w:szCs w:val="24"/>
          <w:lang w:eastAsia="ar-SA"/>
        </w:rPr>
        <w:t xml:space="preserve">a iz sredstava EU </w:t>
      </w:r>
      <w:r w:rsidR="00CA6B30">
        <w:rPr>
          <w:rFonts w:ascii="Times New Roman" w:eastAsia="Calibri" w:hAnsi="Times New Roman" w:cs="Times New Roman"/>
          <w:sz w:val="24"/>
          <w:szCs w:val="24"/>
          <w:lang w:eastAsia="ar-SA"/>
        </w:rPr>
        <w:t>492.362,76</w:t>
      </w:r>
      <w:r w:rsidR="00FC7395" w:rsidRPr="00E721E2">
        <w:rPr>
          <w:rFonts w:ascii="Times New Roman" w:eastAsia="Calibri" w:hAnsi="Times New Roman" w:cs="Times New Roman"/>
          <w:sz w:val="24"/>
          <w:szCs w:val="24"/>
          <w:lang w:eastAsia="ar-SA"/>
        </w:rPr>
        <w:t xml:space="preserve"> eura </w:t>
      </w:r>
      <w:r w:rsidR="00D04613" w:rsidRPr="00E721E2">
        <w:rPr>
          <w:rFonts w:ascii="Times New Roman" w:eastAsia="Calibri" w:hAnsi="Times New Roman" w:cs="Times New Roman"/>
          <w:sz w:val="24"/>
          <w:szCs w:val="24"/>
          <w:lang w:eastAsia="ar-SA"/>
        </w:rPr>
        <w:t xml:space="preserve">ili </w:t>
      </w:r>
      <w:r w:rsidR="00CA6B30">
        <w:rPr>
          <w:rFonts w:ascii="Times New Roman" w:eastAsia="Calibri" w:hAnsi="Times New Roman" w:cs="Times New Roman"/>
          <w:sz w:val="24"/>
          <w:szCs w:val="24"/>
          <w:lang w:eastAsia="ar-SA"/>
        </w:rPr>
        <w:t xml:space="preserve">59,65% te </w:t>
      </w:r>
      <w:r w:rsidR="00FC7395" w:rsidRPr="00E721E2">
        <w:rPr>
          <w:rFonts w:ascii="Times New Roman" w:eastAsia="Calibri" w:hAnsi="Times New Roman" w:cs="Times New Roman"/>
          <w:sz w:val="24"/>
          <w:szCs w:val="24"/>
          <w:lang w:eastAsia="ar-SA"/>
        </w:rPr>
        <w:t xml:space="preserve">ostali prihodi u iznosu od </w:t>
      </w:r>
      <w:r w:rsidR="00CA6B30">
        <w:rPr>
          <w:rFonts w:ascii="Times New Roman" w:eastAsia="Calibri" w:hAnsi="Times New Roman" w:cs="Times New Roman"/>
          <w:sz w:val="24"/>
          <w:szCs w:val="24"/>
          <w:lang w:eastAsia="ar-SA"/>
        </w:rPr>
        <w:t>1.146,92</w:t>
      </w:r>
      <w:r w:rsidR="00D05132" w:rsidRPr="00E721E2">
        <w:rPr>
          <w:rFonts w:ascii="Times New Roman" w:eastAsia="Calibri" w:hAnsi="Times New Roman" w:cs="Times New Roman"/>
          <w:sz w:val="24"/>
          <w:szCs w:val="24"/>
          <w:lang w:eastAsia="ar-SA"/>
        </w:rPr>
        <w:t xml:space="preserve"> eura</w:t>
      </w:r>
      <w:r w:rsidR="00CA6B30">
        <w:rPr>
          <w:rFonts w:ascii="Times New Roman" w:eastAsia="Calibri" w:hAnsi="Times New Roman" w:cs="Times New Roman"/>
          <w:sz w:val="24"/>
          <w:szCs w:val="24"/>
          <w:lang w:eastAsia="ar-SA"/>
        </w:rPr>
        <w:t xml:space="preserve"> ili 0,14%</w:t>
      </w:r>
      <w:r w:rsidR="00D04613" w:rsidRPr="00E721E2">
        <w:rPr>
          <w:rFonts w:ascii="Times New Roman" w:eastAsia="Calibri" w:hAnsi="Times New Roman" w:cs="Times New Roman"/>
          <w:sz w:val="24"/>
          <w:szCs w:val="24"/>
          <w:lang w:eastAsia="ar-SA"/>
        </w:rPr>
        <w:t>. Za razdoblje</w:t>
      </w:r>
      <w:r w:rsidR="00635CFC">
        <w:rPr>
          <w:rFonts w:ascii="Times New Roman" w:eastAsia="Calibri" w:hAnsi="Times New Roman" w:cs="Times New Roman"/>
          <w:sz w:val="24"/>
          <w:szCs w:val="24"/>
          <w:lang w:eastAsia="ar-SA"/>
        </w:rPr>
        <w:t xml:space="preserve"> od</w:t>
      </w:r>
      <w:r w:rsidR="00D04613" w:rsidRPr="00E721E2">
        <w:rPr>
          <w:rFonts w:ascii="Times New Roman" w:eastAsia="Calibri" w:hAnsi="Times New Roman" w:cs="Times New Roman"/>
          <w:sz w:val="24"/>
          <w:szCs w:val="24"/>
          <w:lang w:eastAsia="ar-SA"/>
        </w:rPr>
        <w:t xml:space="preserve"> 01.01.</w:t>
      </w:r>
      <w:r w:rsidR="00635CFC">
        <w:rPr>
          <w:rFonts w:ascii="Times New Roman" w:eastAsia="Calibri" w:hAnsi="Times New Roman" w:cs="Times New Roman"/>
          <w:sz w:val="24"/>
          <w:szCs w:val="24"/>
          <w:lang w:eastAsia="ar-SA"/>
        </w:rPr>
        <w:t xml:space="preserve"> do </w:t>
      </w:r>
      <w:r w:rsidR="00D04613" w:rsidRPr="00E721E2">
        <w:rPr>
          <w:rFonts w:ascii="Times New Roman" w:eastAsia="Calibri" w:hAnsi="Times New Roman" w:cs="Times New Roman"/>
          <w:sz w:val="24"/>
          <w:szCs w:val="24"/>
          <w:lang w:eastAsia="ar-SA"/>
        </w:rPr>
        <w:t>3</w:t>
      </w:r>
      <w:r w:rsidR="00865FEB">
        <w:rPr>
          <w:rFonts w:ascii="Times New Roman" w:eastAsia="Calibri" w:hAnsi="Times New Roman" w:cs="Times New Roman"/>
          <w:sz w:val="24"/>
          <w:szCs w:val="24"/>
          <w:lang w:eastAsia="ar-SA"/>
        </w:rPr>
        <w:t>1</w:t>
      </w:r>
      <w:r w:rsidR="00D04613" w:rsidRPr="00E721E2">
        <w:rPr>
          <w:rFonts w:ascii="Times New Roman" w:eastAsia="Calibri" w:hAnsi="Times New Roman" w:cs="Times New Roman"/>
          <w:sz w:val="24"/>
          <w:szCs w:val="24"/>
          <w:lang w:eastAsia="ar-SA"/>
        </w:rPr>
        <w:t>.</w:t>
      </w:r>
      <w:r w:rsidR="00865FEB">
        <w:rPr>
          <w:rFonts w:ascii="Times New Roman" w:eastAsia="Calibri" w:hAnsi="Times New Roman" w:cs="Times New Roman"/>
          <w:sz w:val="24"/>
          <w:szCs w:val="24"/>
          <w:lang w:eastAsia="ar-SA"/>
        </w:rPr>
        <w:t>12</w:t>
      </w:r>
      <w:r w:rsidR="00D04613" w:rsidRPr="00E721E2">
        <w:rPr>
          <w:rFonts w:ascii="Times New Roman" w:eastAsia="Calibri" w:hAnsi="Times New Roman" w:cs="Times New Roman"/>
          <w:sz w:val="24"/>
          <w:szCs w:val="24"/>
          <w:lang w:eastAsia="ar-SA"/>
        </w:rPr>
        <w:t>.202</w:t>
      </w:r>
      <w:r w:rsidR="00D05132" w:rsidRPr="00E721E2">
        <w:rPr>
          <w:rFonts w:ascii="Times New Roman" w:eastAsia="Calibri" w:hAnsi="Times New Roman" w:cs="Times New Roman"/>
          <w:sz w:val="24"/>
          <w:szCs w:val="24"/>
          <w:lang w:eastAsia="ar-SA"/>
        </w:rPr>
        <w:t>4</w:t>
      </w:r>
      <w:r w:rsidR="00D04613" w:rsidRPr="00E721E2">
        <w:rPr>
          <w:rFonts w:ascii="Times New Roman" w:eastAsia="Calibri" w:hAnsi="Times New Roman" w:cs="Times New Roman"/>
          <w:sz w:val="24"/>
          <w:szCs w:val="24"/>
          <w:lang w:eastAsia="ar-SA"/>
        </w:rPr>
        <w:t xml:space="preserve">. godine ostvareni su </w:t>
      </w:r>
      <w:r w:rsidRPr="00E721E2">
        <w:rPr>
          <w:rFonts w:ascii="Times New Roman" w:eastAsia="Calibri" w:hAnsi="Times New Roman" w:cs="Times New Roman"/>
          <w:sz w:val="24"/>
          <w:szCs w:val="24"/>
          <w:lang w:eastAsia="ar-SA"/>
        </w:rPr>
        <w:t xml:space="preserve">ukupni rashodi i izdaci u iznosu od </w:t>
      </w:r>
      <w:r w:rsidR="00865FEB">
        <w:rPr>
          <w:rFonts w:ascii="Times New Roman" w:eastAsia="Calibri" w:hAnsi="Times New Roman" w:cs="Times New Roman"/>
          <w:sz w:val="24"/>
          <w:szCs w:val="24"/>
          <w:lang w:eastAsia="ar-SA"/>
        </w:rPr>
        <w:t>737.957,17</w:t>
      </w:r>
      <w:r w:rsidR="00FC7395" w:rsidRPr="00E721E2">
        <w:rPr>
          <w:rFonts w:ascii="Times New Roman" w:eastAsia="Calibri" w:hAnsi="Times New Roman" w:cs="Times New Roman"/>
          <w:sz w:val="24"/>
          <w:szCs w:val="24"/>
          <w:lang w:eastAsia="ar-SA"/>
        </w:rPr>
        <w:t xml:space="preserve"> eura</w:t>
      </w:r>
      <w:r w:rsidR="00D04613" w:rsidRPr="00E721E2">
        <w:rPr>
          <w:rFonts w:ascii="Times New Roman" w:eastAsia="Calibri" w:hAnsi="Times New Roman" w:cs="Times New Roman"/>
          <w:sz w:val="24"/>
          <w:szCs w:val="24"/>
          <w:lang w:eastAsia="ar-SA"/>
        </w:rPr>
        <w:t xml:space="preserve">, od čega iz proračuna KKŽ </w:t>
      </w:r>
      <w:r w:rsidR="00865FEB">
        <w:rPr>
          <w:rFonts w:ascii="Times New Roman" w:eastAsia="Calibri" w:hAnsi="Times New Roman" w:cs="Times New Roman"/>
          <w:sz w:val="24"/>
          <w:szCs w:val="24"/>
          <w:lang w:eastAsia="ar-SA"/>
        </w:rPr>
        <w:t>336.666,51</w:t>
      </w:r>
      <w:r w:rsidR="00FC7395" w:rsidRPr="00E721E2">
        <w:rPr>
          <w:rFonts w:ascii="Times New Roman" w:eastAsia="Calibri" w:hAnsi="Times New Roman" w:cs="Times New Roman"/>
          <w:sz w:val="24"/>
          <w:szCs w:val="24"/>
          <w:lang w:eastAsia="ar-SA"/>
        </w:rPr>
        <w:t xml:space="preserve"> eura </w:t>
      </w:r>
      <w:r w:rsidR="00D04613" w:rsidRPr="00E721E2">
        <w:rPr>
          <w:rFonts w:ascii="Times New Roman" w:eastAsia="Calibri" w:hAnsi="Times New Roman" w:cs="Times New Roman"/>
          <w:sz w:val="24"/>
          <w:szCs w:val="24"/>
          <w:lang w:eastAsia="ar-SA"/>
        </w:rPr>
        <w:t xml:space="preserve">ili </w:t>
      </w:r>
      <w:r w:rsidR="00865FEB">
        <w:rPr>
          <w:rFonts w:ascii="Times New Roman" w:eastAsia="Calibri" w:hAnsi="Times New Roman" w:cs="Times New Roman"/>
          <w:sz w:val="24"/>
          <w:szCs w:val="24"/>
          <w:lang w:eastAsia="ar-SA"/>
        </w:rPr>
        <w:t>45,62</w:t>
      </w:r>
      <w:r w:rsidR="00D04613" w:rsidRPr="00E721E2">
        <w:rPr>
          <w:rFonts w:ascii="Times New Roman" w:eastAsia="Calibri" w:hAnsi="Times New Roman" w:cs="Times New Roman"/>
          <w:sz w:val="24"/>
          <w:szCs w:val="24"/>
          <w:lang w:eastAsia="ar-SA"/>
        </w:rPr>
        <w:t xml:space="preserve">%, a iz sredstava EU </w:t>
      </w:r>
      <w:r w:rsidR="00865FEB">
        <w:rPr>
          <w:rFonts w:ascii="Times New Roman" w:eastAsia="Calibri" w:hAnsi="Times New Roman" w:cs="Times New Roman"/>
          <w:sz w:val="24"/>
          <w:szCs w:val="24"/>
          <w:lang w:eastAsia="ar-SA"/>
        </w:rPr>
        <w:t>400.551,38</w:t>
      </w:r>
      <w:r w:rsidR="00FC7395" w:rsidRPr="00E721E2">
        <w:rPr>
          <w:rFonts w:ascii="Times New Roman" w:eastAsia="Calibri" w:hAnsi="Times New Roman" w:cs="Times New Roman"/>
          <w:sz w:val="24"/>
          <w:szCs w:val="24"/>
          <w:lang w:eastAsia="ar-SA"/>
        </w:rPr>
        <w:t xml:space="preserve"> eura</w:t>
      </w:r>
      <w:r w:rsidR="00D04613" w:rsidRPr="00E721E2">
        <w:rPr>
          <w:rFonts w:ascii="Times New Roman" w:eastAsia="Calibri" w:hAnsi="Times New Roman" w:cs="Times New Roman"/>
          <w:sz w:val="24"/>
          <w:szCs w:val="24"/>
          <w:lang w:eastAsia="ar-SA"/>
        </w:rPr>
        <w:t xml:space="preserve"> </w:t>
      </w:r>
      <w:r w:rsidR="00D04613" w:rsidRPr="00E721E2">
        <w:rPr>
          <w:rFonts w:ascii="Times New Roman" w:eastAsia="Calibri" w:hAnsi="Times New Roman" w:cs="Times New Roman"/>
          <w:sz w:val="24"/>
          <w:szCs w:val="24"/>
          <w:lang w:eastAsia="ar-SA"/>
        </w:rPr>
        <w:lastRenderedPageBreak/>
        <w:t xml:space="preserve">ili </w:t>
      </w:r>
      <w:r w:rsidR="00865FEB">
        <w:rPr>
          <w:rFonts w:ascii="Times New Roman" w:eastAsia="Calibri" w:hAnsi="Times New Roman" w:cs="Times New Roman"/>
          <w:sz w:val="24"/>
          <w:szCs w:val="24"/>
          <w:lang w:eastAsia="ar-SA"/>
        </w:rPr>
        <w:t>54,28</w:t>
      </w:r>
      <w:r w:rsidR="008F7EDA" w:rsidRPr="00E721E2">
        <w:rPr>
          <w:rFonts w:ascii="Times New Roman" w:eastAsia="Calibri" w:hAnsi="Times New Roman" w:cs="Times New Roman"/>
          <w:sz w:val="24"/>
          <w:szCs w:val="24"/>
          <w:lang w:eastAsia="ar-SA"/>
        </w:rPr>
        <w:t>%</w:t>
      </w:r>
      <w:r w:rsidR="0073520D" w:rsidRPr="00E721E2">
        <w:rPr>
          <w:rFonts w:ascii="Times New Roman" w:eastAsia="Calibri" w:hAnsi="Times New Roman" w:cs="Times New Roman"/>
          <w:sz w:val="24"/>
          <w:szCs w:val="24"/>
          <w:lang w:eastAsia="ar-SA"/>
        </w:rPr>
        <w:t xml:space="preserve">   te neznatni rashodi s naslova naknade štete s osnove osiguranja u iznos</w:t>
      </w:r>
      <w:r w:rsidR="00855581" w:rsidRPr="00E721E2">
        <w:rPr>
          <w:rFonts w:ascii="Times New Roman" w:eastAsia="Calibri" w:hAnsi="Times New Roman" w:cs="Times New Roman"/>
          <w:sz w:val="24"/>
          <w:szCs w:val="24"/>
          <w:lang w:eastAsia="ar-SA"/>
        </w:rPr>
        <w:t>u</w:t>
      </w:r>
      <w:r w:rsidR="0073520D" w:rsidRPr="00E721E2">
        <w:rPr>
          <w:rFonts w:ascii="Times New Roman" w:eastAsia="Calibri" w:hAnsi="Times New Roman" w:cs="Times New Roman"/>
          <w:sz w:val="24"/>
          <w:szCs w:val="24"/>
          <w:lang w:eastAsia="ar-SA"/>
        </w:rPr>
        <w:t xml:space="preserve"> od </w:t>
      </w:r>
      <w:r w:rsidR="00865FEB">
        <w:rPr>
          <w:rFonts w:ascii="Times New Roman" w:eastAsia="Calibri" w:hAnsi="Times New Roman" w:cs="Times New Roman"/>
          <w:sz w:val="24"/>
          <w:szCs w:val="24"/>
          <w:lang w:eastAsia="ar-SA"/>
        </w:rPr>
        <w:t>739,28</w:t>
      </w:r>
      <w:r w:rsidR="0073520D" w:rsidRPr="00E721E2">
        <w:rPr>
          <w:rFonts w:ascii="Times New Roman" w:eastAsia="Calibri" w:hAnsi="Times New Roman" w:cs="Times New Roman"/>
          <w:sz w:val="24"/>
          <w:szCs w:val="24"/>
          <w:lang w:eastAsia="ar-SA"/>
        </w:rPr>
        <w:t xml:space="preserve"> eura ili 0,</w:t>
      </w:r>
      <w:r w:rsidR="00865FEB">
        <w:rPr>
          <w:rFonts w:ascii="Times New Roman" w:eastAsia="Calibri" w:hAnsi="Times New Roman" w:cs="Times New Roman"/>
          <w:sz w:val="24"/>
          <w:szCs w:val="24"/>
          <w:lang w:eastAsia="ar-SA"/>
        </w:rPr>
        <w:t>1</w:t>
      </w:r>
      <w:r w:rsidR="0073520D" w:rsidRPr="00E721E2">
        <w:rPr>
          <w:rFonts w:ascii="Times New Roman" w:eastAsia="Calibri" w:hAnsi="Times New Roman" w:cs="Times New Roman"/>
          <w:sz w:val="24"/>
          <w:szCs w:val="24"/>
          <w:lang w:eastAsia="ar-SA"/>
        </w:rPr>
        <w:t>%,</w:t>
      </w:r>
    </w:p>
    <w:p w14:paraId="158D2752" w14:textId="7E1BF3D8" w:rsidR="00D02AA6" w:rsidRPr="00E721E2" w:rsidRDefault="008F7EDA" w:rsidP="00D02AA6">
      <w:pPr>
        <w:suppressAutoHyphens/>
        <w:spacing w:after="0" w:line="240" w:lineRule="auto"/>
        <w:jc w:val="both"/>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T</w:t>
      </w:r>
      <w:r w:rsidR="00803102" w:rsidRPr="00E721E2">
        <w:rPr>
          <w:rFonts w:ascii="Times New Roman" w:eastAsia="Calibri" w:hAnsi="Times New Roman" w:cs="Times New Roman"/>
          <w:sz w:val="24"/>
          <w:szCs w:val="24"/>
          <w:lang w:eastAsia="ar-SA"/>
        </w:rPr>
        <w:t>ekući rezultat poslovanja za razdoblje</w:t>
      </w:r>
      <w:r w:rsidR="00635CFC">
        <w:rPr>
          <w:rFonts w:ascii="Times New Roman" w:eastAsia="Calibri" w:hAnsi="Times New Roman" w:cs="Times New Roman"/>
          <w:sz w:val="24"/>
          <w:szCs w:val="24"/>
          <w:lang w:eastAsia="ar-SA"/>
        </w:rPr>
        <w:t xml:space="preserve"> od</w:t>
      </w:r>
      <w:r w:rsidR="00803102" w:rsidRPr="00E721E2">
        <w:rPr>
          <w:rFonts w:ascii="Times New Roman" w:eastAsia="Calibri" w:hAnsi="Times New Roman" w:cs="Times New Roman"/>
          <w:sz w:val="24"/>
          <w:szCs w:val="24"/>
          <w:lang w:eastAsia="ar-SA"/>
        </w:rPr>
        <w:t xml:space="preserve"> 01.01.</w:t>
      </w:r>
      <w:r w:rsidR="00635CFC">
        <w:rPr>
          <w:rFonts w:ascii="Times New Roman" w:eastAsia="Calibri" w:hAnsi="Times New Roman" w:cs="Times New Roman"/>
          <w:sz w:val="24"/>
          <w:szCs w:val="24"/>
          <w:lang w:eastAsia="ar-SA"/>
        </w:rPr>
        <w:t xml:space="preserve"> do </w:t>
      </w:r>
      <w:r w:rsidR="00803102" w:rsidRPr="00E721E2">
        <w:rPr>
          <w:rFonts w:ascii="Times New Roman" w:eastAsia="Calibri" w:hAnsi="Times New Roman" w:cs="Times New Roman"/>
          <w:sz w:val="24"/>
          <w:szCs w:val="24"/>
          <w:lang w:eastAsia="ar-SA"/>
        </w:rPr>
        <w:t>3</w:t>
      </w:r>
      <w:r w:rsidR="00865FEB">
        <w:rPr>
          <w:rFonts w:ascii="Times New Roman" w:eastAsia="Calibri" w:hAnsi="Times New Roman" w:cs="Times New Roman"/>
          <w:sz w:val="24"/>
          <w:szCs w:val="24"/>
          <w:lang w:eastAsia="ar-SA"/>
        </w:rPr>
        <w:t>1</w:t>
      </w:r>
      <w:r w:rsidR="00803102" w:rsidRPr="00E721E2">
        <w:rPr>
          <w:rFonts w:ascii="Times New Roman" w:eastAsia="Calibri" w:hAnsi="Times New Roman" w:cs="Times New Roman"/>
          <w:sz w:val="24"/>
          <w:szCs w:val="24"/>
          <w:lang w:eastAsia="ar-SA"/>
        </w:rPr>
        <w:t>.</w:t>
      </w:r>
      <w:r w:rsidR="00865FEB">
        <w:rPr>
          <w:rFonts w:ascii="Times New Roman" w:eastAsia="Calibri" w:hAnsi="Times New Roman" w:cs="Times New Roman"/>
          <w:sz w:val="24"/>
          <w:szCs w:val="24"/>
          <w:lang w:eastAsia="ar-SA"/>
        </w:rPr>
        <w:t>12</w:t>
      </w:r>
      <w:r w:rsidR="00803102" w:rsidRPr="00E721E2">
        <w:rPr>
          <w:rFonts w:ascii="Times New Roman" w:eastAsia="Calibri" w:hAnsi="Times New Roman" w:cs="Times New Roman"/>
          <w:sz w:val="24"/>
          <w:szCs w:val="24"/>
          <w:lang w:eastAsia="ar-SA"/>
        </w:rPr>
        <w:t>.202</w:t>
      </w:r>
      <w:r w:rsidR="0073520D" w:rsidRPr="00E721E2">
        <w:rPr>
          <w:rFonts w:ascii="Times New Roman" w:eastAsia="Calibri" w:hAnsi="Times New Roman" w:cs="Times New Roman"/>
          <w:sz w:val="24"/>
          <w:szCs w:val="24"/>
          <w:lang w:eastAsia="ar-SA"/>
        </w:rPr>
        <w:t>4</w:t>
      </w:r>
      <w:r w:rsidR="00803102" w:rsidRPr="00E721E2">
        <w:rPr>
          <w:rFonts w:ascii="Times New Roman" w:eastAsia="Calibri" w:hAnsi="Times New Roman" w:cs="Times New Roman"/>
          <w:sz w:val="24"/>
          <w:szCs w:val="24"/>
          <w:lang w:eastAsia="ar-SA"/>
        </w:rPr>
        <w:t>. godine</w:t>
      </w:r>
      <w:r w:rsidRPr="00E721E2">
        <w:rPr>
          <w:rFonts w:ascii="Times New Roman" w:eastAsia="Calibri" w:hAnsi="Times New Roman" w:cs="Times New Roman"/>
          <w:sz w:val="24"/>
          <w:szCs w:val="24"/>
          <w:lang w:eastAsia="ar-SA"/>
        </w:rPr>
        <w:t xml:space="preserve"> je</w:t>
      </w:r>
      <w:r w:rsidR="00803102" w:rsidRPr="00E721E2">
        <w:rPr>
          <w:rFonts w:ascii="Times New Roman" w:eastAsia="Calibri" w:hAnsi="Times New Roman" w:cs="Times New Roman"/>
          <w:sz w:val="24"/>
          <w:szCs w:val="24"/>
          <w:lang w:eastAsia="ar-SA"/>
        </w:rPr>
        <w:t xml:space="preserve"> </w:t>
      </w:r>
      <w:r w:rsidR="0073520D" w:rsidRPr="00E721E2">
        <w:rPr>
          <w:rFonts w:ascii="Times New Roman" w:eastAsia="Calibri" w:hAnsi="Times New Roman" w:cs="Times New Roman"/>
          <w:sz w:val="24"/>
          <w:szCs w:val="24"/>
          <w:lang w:eastAsia="ar-SA"/>
        </w:rPr>
        <w:t>višak</w:t>
      </w:r>
      <w:r w:rsidR="00803102" w:rsidRPr="00E721E2">
        <w:rPr>
          <w:rFonts w:ascii="Times New Roman" w:eastAsia="Calibri" w:hAnsi="Times New Roman" w:cs="Times New Roman"/>
          <w:sz w:val="24"/>
          <w:szCs w:val="24"/>
          <w:lang w:eastAsia="ar-SA"/>
        </w:rPr>
        <w:t xml:space="preserve"> prihoda u iznosu </w:t>
      </w:r>
      <w:r w:rsidR="00865FEB">
        <w:rPr>
          <w:rFonts w:ascii="Times New Roman" w:eastAsia="Calibri" w:hAnsi="Times New Roman" w:cs="Times New Roman"/>
          <w:sz w:val="24"/>
          <w:szCs w:val="24"/>
          <w:lang w:eastAsia="ar-SA"/>
        </w:rPr>
        <w:t>87</w:t>
      </w:r>
      <w:r w:rsidR="0073520D" w:rsidRPr="00E721E2">
        <w:rPr>
          <w:rFonts w:ascii="Times New Roman" w:eastAsia="Calibri" w:hAnsi="Times New Roman" w:cs="Times New Roman"/>
          <w:sz w:val="24"/>
          <w:szCs w:val="24"/>
          <w:lang w:eastAsia="ar-SA"/>
        </w:rPr>
        <w:t>.</w:t>
      </w:r>
      <w:r w:rsidR="00865FEB">
        <w:rPr>
          <w:rFonts w:ascii="Times New Roman" w:eastAsia="Calibri" w:hAnsi="Times New Roman" w:cs="Times New Roman"/>
          <w:sz w:val="24"/>
          <w:szCs w:val="24"/>
          <w:lang w:eastAsia="ar-SA"/>
        </w:rPr>
        <w:t>528,33</w:t>
      </w:r>
      <w:r w:rsidR="00FC7395" w:rsidRPr="00E721E2">
        <w:rPr>
          <w:rFonts w:ascii="Times New Roman" w:eastAsia="Calibri" w:hAnsi="Times New Roman" w:cs="Times New Roman"/>
          <w:sz w:val="24"/>
          <w:szCs w:val="24"/>
          <w:lang w:eastAsia="ar-SA"/>
        </w:rPr>
        <w:t xml:space="preserve"> eura</w:t>
      </w:r>
      <w:r w:rsidR="00803102" w:rsidRPr="00E721E2">
        <w:rPr>
          <w:rFonts w:ascii="Times New Roman" w:eastAsia="Calibri" w:hAnsi="Times New Roman" w:cs="Times New Roman"/>
          <w:sz w:val="24"/>
          <w:szCs w:val="24"/>
          <w:lang w:eastAsia="ar-SA"/>
        </w:rPr>
        <w:t>.</w:t>
      </w:r>
      <w:r w:rsidR="00D02AA6" w:rsidRPr="00E721E2">
        <w:rPr>
          <w:rFonts w:ascii="Times New Roman" w:eastAsia="Calibri" w:hAnsi="Times New Roman" w:cs="Times New Roman"/>
          <w:sz w:val="24"/>
          <w:szCs w:val="24"/>
          <w:lang w:eastAsia="ar-SA"/>
        </w:rPr>
        <w:t xml:space="preserve"> Preneseni </w:t>
      </w:r>
      <w:r w:rsidR="00FC7395" w:rsidRPr="00E721E2">
        <w:rPr>
          <w:rFonts w:ascii="Times New Roman" w:eastAsia="Calibri" w:hAnsi="Times New Roman" w:cs="Times New Roman"/>
          <w:sz w:val="24"/>
          <w:szCs w:val="24"/>
          <w:lang w:eastAsia="ar-SA"/>
        </w:rPr>
        <w:t>manjak po</w:t>
      </w:r>
      <w:r w:rsidR="00D02AA6" w:rsidRPr="00E721E2">
        <w:rPr>
          <w:rFonts w:ascii="Times New Roman" w:eastAsia="Calibri" w:hAnsi="Times New Roman" w:cs="Times New Roman"/>
          <w:sz w:val="24"/>
          <w:szCs w:val="24"/>
          <w:lang w:eastAsia="ar-SA"/>
        </w:rPr>
        <w:t>slovanja iz 202</w:t>
      </w:r>
      <w:r w:rsidR="0073520D" w:rsidRPr="00E721E2">
        <w:rPr>
          <w:rFonts w:ascii="Times New Roman" w:eastAsia="Calibri" w:hAnsi="Times New Roman" w:cs="Times New Roman"/>
          <w:sz w:val="24"/>
          <w:szCs w:val="24"/>
          <w:lang w:eastAsia="ar-SA"/>
        </w:rPr>
        <w:t>3</w:t>
      </w:r>
      <w:r w:rsidR="00D02AA6" w:rsidRPr="00E721E2">
        <w:rPr>
          <w:rFonts w:ascii="Times New Roman" w:eastAsia="Calibri" w:hAnsi="Times New Roman" w:cs="Times New Roman"/>
          <w:sz w:val="24"/>
          <w:szCs w:val="24"/>
          <w:lang w:eastAsia="ar-SA"/>
        </w:rPr>
        <w:t>. godine iznosio je</w:t>
      </w:r>
      <w:r w:rsidR="00BA025B" w:rsidRPr="00E721E2">
        <w:rPr>
          <w:rFonts w:ascii="Times New Roman" w:eastAsia="Calibri" w:hAnsi="Times New Roman" w:cs="Times New Roman"/>
          <w:sz w:val="24"/>
          <w:szCs w:val="24"/>
          <w:lang w:eastAsia="ar-SA"/>
        </w:rPr>
        <w:t xml:space="preserve"> </w:t>
      </w:r>
      <w:r w:rsidR="0073520D" w:rsidRPr="00E721E2">
        <w:rPr>
          <w:rFonts w:ascii="Times New Roman" w:eastAsia="Calibri" w:hAnsi="Times New Roman" w:cs="Times New Roman"/>
          <w:sz w:val="24"/>
          <w:szCs w:val="24"/>
          <w:lang w:eastAsia="ar-SA"/>
        </w:rPr>
        <w:t>-66.166,21</w:t>
      </w:r>
      <w:r w:rsidR="00FC7395" w:rsidRPr="00E721E2">
        <w:rPr>
          <w:rFonts w:ascii="Times New Roman" w:eastAsia="Calibri" w:hAnsi="Times New Roman" w:cs="Times New Roman"/>
          <w:sz w:val="24"/>
          <w:szCs w:val="24"/>
          <w:lang w:eastAsia="ar-SA"/>
        </w:rPr>
        <w:t xml:space="preserve"> eura</w:t>
      </w:r>
      <w:r w:rsidR="00D02AA6" w:rsidRPr="00E721E2">
        <w:rPr>
          <w:rFonts w:ascii="Times New Roman" w:eastAsia="Calibri" w:hAnsi="Times New Roman" w:cs="Times New Roman"/>
          <w:sz w:val="24"/>
          <w:szCs w:val="24"/>
          <w:lang w:eastAsia="ar-SA"/>
        </w:rPr>
        <w:t xml:space="preserve">. </w:t>
      </w:r>
    </w:p>
    <w:p w14:paraId="5D300EAD" w14:textId="193330FC" w:rsidR="000D70D9" w:rsidRPr="00E721E2" w:rsidRDefault="00803102" w:rsidP="00BA025B">
      <w:pPr>
        <w:spacing w:after="0" w:line="240" w:lineRule="auto"/>
        <w:jc w:val="both"/>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w:t>
      </w:r>
      <w:r w:rsidR="00865FEB">
        <w:rPr>
          <w:rFonts w:ascii="Times New Roman" w:eastAsia="Calibri" w:hAnsi="Times New Roman" w:cs="Times New Roman"/>
          <w:sz w:val="24"/>
          <w:szCs w:val="24"/>
          <w:lang w:eastAsia="ar-SA"/>
        </w:rPr>
        <w:t xml:space="preserve">Tijekom </w:t>
      </w:r>
      <w:r w:rsidR="000D70D9" w:rsidRPr="00E721E2">
        <w:rPr>
          <w:rFonts w:ascii="Times New Roman" w:hAnsi="Times New Roman" w:cs="Times New Roman"/>
          <w:sz w:val="24"/>
          <w:szCs w:val="24"/>
        </w:rPr>
        <w:t xml:space="preserve">2024. godine izvršena je korekcija rezultata na ime povrata sredstava Fonda za sufinanciranje EU projekata na regionalnoj i lokalnoj razini po projektu „UZ PORU PO POTPORU“ od </w:t>
      </w:r>
      <w:r w:rsidR="000D70D9" w:rsidRPr="00E721E2">
        <w:rPr>
          <w:rFonts w:ascii="Times New Roman" w:hAnsi="Times New Roman" w:cs="Times New Roman"/>
          <w:b/>
          <w:sz w:val="24"/>
          <w:szCs w:val="24"/>
        </w:rPr>
        <w:t>48.575,32 eura</w:t>
      </w:r>
      <w:r w:rsidR="000D70D9" w:rsidRPr="00E721E2">
        <w:rPr>
          <w:rFonts w:ascii="Times New Roman" w:hAnsi="Times New Roman" w:cs="Times New Roman"/>
          <w:sz w:val="24"/>
          <w:szCs w:val="24"/>
        </w:rPr>
        <w:t xml:space="preserve">, a koji je sufinanciran iz Proračuna Koprivničko-križevačke županije po izvoru 1.1. Taj je iznos tijekom izvještajnog razdoblja </w:t>
      </w:r>
      <w:r w:rsidR="000D70D9" w:rsidRPr="00A330D4">
        <w:rPr>
          <w:rFonts w:ascii="Times New Roman" w:hAnsi="Times New Roman" w:cs="Times New Roman"/>
          <w:sz w:val="24"/>
          <w:szCs w:val="24"/>
        </w:rPr>
        <w:t xml:space="preserve">vraćen </w:t>
      </w:r>
      <w:r w:rsidR="009E46BC" w:rsidRPr="00A330D4">
        <w:rPr>
          <w:rFonts w:ascii="Times New Roman" w:hAnsi="Times New Roman" w:cs="Times New Roman"/>
          <w:sz w:val="24"/>
          <w:szCs w:val="24"/>
        </w:rPr>
        <w:t xml:space="preserve">u </w:t>
      </w:r>
      <w:r w:rsidR="00A330D4" w:rsidRPr="00A330D4">
        <w:rPr>
          <w:rFonts w:ascii="Times New Roman" w:hAnsi="Times New Roman" w:cs="Times New Roman"/>
          <w:sz w:val="24"/>
          <w:szCs w:val="24"/>
        </w:rPr>
        <w:t>p</w:t>
      </w:r>
      <w:r w:rsidR="009E46BC" w:rsidRPr="00A330D4">
        <w:rPr>
          <w:rFonts w:ascii="Times New Roman" w:hAnsi="Times New Roman" w:cs="Times New Roman"/>
          <w:sz w:val="24"/>
          <w:szCs w:val="24"/>
        </w:rPr>
        <w:t xml:space="preserve">roračun Koprivničko-križevačke županije. </w:t>
      </w:r>
      <w:r w:rsidR="00865FEB" w:rsidRPr="00A330D4">
        <w:rPr>
          <w:rFonts w:ascii="Times New Roman" w:hAnsi="Times New Roman" w:cs="Times New Roman"/>
          <w:sz w:val="24"/>
          <w:szCs w:val="24"/>
        </w:rPr>
        <w:t xml:space="preserve">Nadalje izvršena je korekcija rezultata </w:t>
      </w:r>
      <w:r w:rsidR="00865FEB">
        <w:rPr>
          <w:rFonts w:ascii="Times New Roman" w:hAnsi="Times New Roman" w:cs="Times New Roman"/>
          <w:sz w:val="24"/>
          <w:szCs w:val="24"/>
        </w:rPr>
        <w:t>na ime predfinanciranja</w:t>
      </w:r>
      <w:r w:rsidR="00EC7039">
        <w:rPr>
          <w:rFonts w:ascii="Times New Roman" w:hAnsi="Times New Roman" w:cs="Times New Roman"/>
          <w:sz w:val="24"/>
          <w:szCs w:val="24"/>
        </w:rPr>
        <w:t xml:space="preserve"> provedbe aktivnosti EU projekata iz Proračuna Koprivničko-križevačke županije po izvoru 1.9. u iznosu od 49.893,92 eura te je ukupan iznos korekcije 98.469,24 eura.</w:t>
      </w:r>
      <w:r w:rsidR="00865FEB">
        <w:rPr>
          <w:rFonts w:ascii="Times New Roman" w:hAnsi="Times New Roman" w:cs="Times New Roman"/>
          <w:sz w:val="24"/>
          <w:szCs w:val="24"/>
        </w:rPr>
        <w:t xml:space="preserve"> </w:t>
      </w:r>
      <w:r w:rsidR="000D70D9" w:rsidRPr="00E721E2">
        <w:rPr>
          <w:rFonts w:ascii="Times New Roman" w:hAnsi="Times New Roman" w:cs="Times New Roman"/>
          <w:sz w:val="24"/>
          <w:szCs w:val="24"/>
        </w:rPr>
        <w:t xml:space="preserve"> </w:t>
      </w:r>
    </w:p>
    <w:p w14:paraId="53EDF85D" w14:textId="77777777" w:rsidR="000D70D9" w:rsidRPr="00E721E2" w:rsidRDefault="000D70D9" w:rsidP="00BA025B">
      <w:pPr>
        <w:spacing w:after="0" w:line="240" w:lineRule="auto"/>
        <w:jc w:val="both"/>
        <w:rPr>
          <w:rFonts w:ascii="Times New Roman" w:eastAsia="Calibri" w:hAnsi="Times New Roman" w:cs="Times New Roman"/>
          <w:sz w:val="24"/>
          <w:szCs w:val="24"/>
          <w:lang w:eastAsia="ar-SA"/>
        </w:rPr>
      </w:pPr>
    </w:p>
    <w:p w14:paraId="188710FD" w14:textId="1C31947E" w:rsidR="00803102" w:rsidRDefault="00D02AA6" w:rsidP="00803102">
      <w:pPr>
        <w:suppressAutoHyphens/>
        <w:spacing w:after="0" w:line="240" w:lineRule="auto"/>
        <w:jc w:val="both"/>
        <w:rPr>
          <w:rFonts w:ascii="Times New Roman" w:eastAsia="Calibri" w:hAnsi="Times New Roman" w:cs="Times New Roman"/>
          <w:b/>
          <w:sz w:val="24"/>
          <w:szCs w:val="24"/>
          <w:lang w:eastAsia="ar-SA"/>
        </w:rPr>
      </w:pPr>
      <w:r w:rsidRPr="00E721E2">
        <w:rPr>
          <w:rFonts w:ascii="Times New Roman" w:eastAsia="Calibri" w:hAnsi="Times New Roman" w:cs="Times New Roman"/>
          <w:sz w:val="24"/>
          <w:szCs w:val="24"/>
          <w:lang w:eastAsia="ar-SA"/>
        </w:rPr>
        <w:t xml:space="preserve">Konačan rezultat poslovanja za razdoblje </w:t>
      </w:r>
      <w:r w:rsidR="00635CFC">
        <w:rPr>
          <w:rFonts w:ascii="Times New Roman" w:eastAsia="Calibri" w:hAnsi="Times New Roman" w:cs="Times New Roman"/>
          <w:sz w:val="24"/>
          <w:szCs w:val="24"/>
          <w:lang w:eastAsia="ar-SA"/>
        </w:rPr>
        <w:t xml:space="preserve">od </w:t>
      </w:r>
      <w:r w:rsidRPr="00E721E2">
        <w:rPr>
          <w:rFonts w:ascii="Times New Roman" w:eastAsia="Calibri" w:hAnsi="Times New Roman" w:cs="Times New Roman"/>
          <w:sz w:val="24"/>
          <w:szCs w:val="24"/>
          <w:lang w:eastAsia="ar-SA"/>
        </w:rPr>
        <w:t>01.01.</w:t>
      </w:r>
      <w:r w:rsidR="00635CFC">
        <w:rPr>
          <w:rFonts w:ascii="Times New Roman" w:eastAsia="Calibri" w:hAnsi="Times New Roman" w:cs="Times New Roman"/>
          <w:sz w:val="24"/>
          <w:szCs w:val="24"/>
          <w:lang w:eastAsia="ar-SA"/>
        </w:rPr>
        <w:t xml:space="preserve"> do </w:t>
      </w:r>
      <w:r w:rsidRPr="00E721E2">
        <w:rPr>
          <w:rFonts w:ascii="Times New Roman" w:eastAsia="Calibri" w:hAnsi="Times New Roman" w:cs="Times New Roman"/>
          <w:sz w:val="24"/>
          <w:szCs w:val="24"/>
          <w:lang w:eastAsia="ar-SA"/>
        </w:rPr>
        <w:t>3</w:t>
      </w:r>
      <w:r w:rsidR="00EC7039">
        <w:rPr>
          <w:rFonts w:ascii="Times New Roman" w:eastAsia="Calibri" w:hAnsi="Times New Roman" w:cs="Times New Roman"/>
          <w:sz w:val="24"/>
          <w:szCs w:val="24"/>
          <w:lang w:eastAsia="ar-SA"/>
        </w:rPr>
        <w:t>1</w:t>
      </w:r>
      <w:r w:rsidRPr="00E721E2">
        <w:rPr>
          <w:rFonts w:ascii="Times New Roman" w:eastAsia="Calibri" w:hAnsi="Times New Roman" w:cs="Times New Roman"/>
          <w:sz w:val="24"/>
          <w:szCs w:val="24"/>
          <w:lang w:eastAsia="ar-SA"/>
        </w:rPr>
        <w:t>.</w:t>
      </w:r>
      <w:r w:rsidR="00EC7039">
        <w:rPr>
          <w:rFonts w:ascii="Times New Roman" w:eastAsia="Calibri" w:hAnsi="Times New Roman" w:cs="Times New Roman"/>
          <w:sz w:val="24"/>
          <w:szCs w:val="24"/>
          <w:lang w:eastAsia="ar-SA"/>
        </w:rPr>
        <w:t>12</w:t>
      </w:r>
      <w:r w:rsidRPr="00E721E2">
        <w:rPr>
          <w:rFonts w:ascii="Times New Roman" w:eastAsia="Calibri" w:hAnsi="Times New Roman" w:cs="Times New Roman"/>
          <w:sz w:val="24"/>
          <w:szCs w:val="24"/>
          <w:lang w:eastAsia="ar-SA"/>
        </w:rPr>
        <w:t>.202</w:t>
      </w:r>
      <w:r w:rsidR="000D70D9" w:rsidRPr="00E721E2">
        <w:rPr>
          <w:rFonts w:ascii="Times New Roman" w:eastAsia="Calibri" w:hAnsi="Times New Roman" w:cs="Times New Roman"/>
          <w:sz w:val="24"/>
          <w:szCs w:val="24"/>
          <w:lang w:eastAsia="ar-SA"/>
        </w:rPr>
        <w:t>4</w:t>
      </w:r>
      <w:r w:rsidRPr="00E721E2">
        <w:rPr>
          <w:rFonts w:ascii="Times New Roman" w:eastAsia="Calibri" w:hAnsi="Times New Roman" w:cs="Times New Roman"/>
          <w:sz w:val="24"/>
          <w:szCs w:val="24"/>
          <w:lang w:eastAsia="ar-SA"/>
        </w:rPr>
        <w:t xml:space="preserve">. godine je manjak prihoda i primitaka u iznosu od </w:t>
      </w:r>
      <w:r w:rsidR="000D70D9" w:rsidRPr="00E721E2">
        <w:rPr>
          <w:rFonts w:ascii="Times New Roman" w:eastAsia="Calibri" w:hAnsi="Times New Roman" w:cs="Times New Roman"/>
          <w:b/>
          <w:bCs/>
          <w:sz w:val="24"/>
          <w:szCs w:val="24"/>
          <w:lang w:eastAsia="ar-SA"/>
        </w:rPr>
        <w:t>-</w:t>
      </w:r>
      <w:r w:rsidR="00EC7039">
        <w:rPr>
          <w:rFonts w:ascii="Times New Roman" w:eastAsia="Calibri" w:hAnsi="Times New Roman" w:cs="Times New Roman"/>
          <w:b/>
          <w:bCs/>
          <w:sz w:val="24"/>
          <w:szCs w:val="24"/>
          <w:lang w:eastAsia="ar-SA"/>
        </w:rPr>
        <w:t>77.107,12</w:t>
      </w:r>
      <w:r w:rsidR="00BA025B" w:rsidRPr="00E721E2">
        <w:rPr>
          <w:rFonts w:ascii="Times New Roman" w:eastAsia="Calibri" w:hAnsi="Times New Roman" w:cs="Times New Roman"/>
          <w:b/>
          <w:bCs/>
          <w:sz w:val="24"/>
          <w:szCs w:val="24"/>
          <w:lang w:eastAsia="ar-SA"/>
        </w:rPr>
        <w:t xml:space="preserve"> eura</w:t>
      </w:r>
      <w:r w:rsidRPr="00E721E2">
        <w:rPr>
          <w:rFonts w:ascii="Times New Roman" w:eastAsia="Calibri" w:hAnsi="Times New Roman" w:cs="Times New Roman"/>
          <w:bCs/>
          <w:sz w:val="24"/>
          <w:szCs w:val="24"/>
          <w:lang w:eastAsia="ar-SA"/>
        </w:rPr>
        <w:t>,</w:t>
      </w:r>
      <w:r w:rsidRPr="00E721E2">
        <w:rPr>
          <w:rFonts w:ascii="Times New Roman" w:eastAsia="Calibri" w:hAnsi="Times New Roman" w:cs="Times New Roman"/>
          <w:b/>
          <w:sz w:val="24"/>
          <w:szCs w:val="24"/>
          <w:lang w:eastAsia="ar-SA"/>
        </w:rPr>
        <w:t xml:space="preserve"> </w:t>
      </w:r>
      <w:r w:rsidR="00785A12" w:rsidRPr="00E721E2">
        <w:rPr>
          <w:rFonts w:ascii="Times New Roman" w:eastAsia="Calibri" w:hAnsi="Times New Roman" w:cs="Times New Roman"/>
          <w:sz w:val="24"/>
          <w:szCs w:val="24"/>
          <w:lang w:eastAsia="ar-SA"/>
        </w:rPr>
        <w:t>a sastoji</w:t>
      </w:r>
      <w:r w:rsidR="00DE7B6B" w:rsidRPr="00E721E2">
        <w:rPr>
          <w:rFonts w:ascii="Times New Roman" w:eastAsia="Calibri" w:hAnsi="Times New Roman" w:cs="Times New Roman"/>
          <w:sz w:val="24"/>
          <w:szCs w:val="24"/>
          <w:lang w:eastAsia="ar-SA"/>
        </w:rPr>
        <w:t xml:space="preserve"> se</w:t>
      </w:r>
      <w:r w:rsidR="00785A12" w:rsidRPr="00E721E2">
        <w:rPr>
          <w:rFonts w:ascii="Times New Roman" w:eastAsia="Calibri" w:hAnsi="Times New Roman" w:cs="Times New Roman"/>
          <w:sz w:val="24"/>
          <w:szCs w:val="24"/>
          <w:lang w:eastAsia="ar-SA"/>
        </w:rPr>
        <w:t xml:space="preserve"> od</w:t>
      </w:r>
      <w:r w:rsidR="000D70D9" w:rsidRPr="00E721E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tekućeg viška prihoda za 202</w:t>
      </w:r>
      <w:r w:rsidR="000D70D9" w:rsidRPr="00E721E2">
        <w:rPr>
          <w:rFonts w:ascii="Times New Roman" w:eastAsia="Calibri" w:hAnsi="Times New Roman" w:cs="Times New Roman"/>
          <w:sz w:val="24"/>
          <w:szCs w:val="24"/>
          <w:lang w:eastAsia="ar-SA"/>
        </w:rPr>
        <w:t>4</w:t>
      </w:r>
      <w:r w:rsidR="00785A12" w:rsidRPr="00E721E2">
        <w:rPr>
          <w:rFonts w:ascii="Times New Roman" w:eastAsia="Calibri" w:hAnsi="Times New Roman" w:cs="Times New Roman"/>
          <w:sz w:val="24"/>
          <w:szCs w:val="24"/>
          <w:lang w:eastAsia="ar-SA"/>
        </w:rPr>
        <w:t>. godinu u iznosu</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 xml:space="preserve"> od </w:t>
      </w:r>
      <w:r w:rsidR="001D0292">
        <w:rPr>
          <w:rFonts w:ascii="Times New Roman" w:eastAsia="Calibri" w:hAnsi="Times New Roman" w:cs="Times New Roman"/>
          <w:sz w:val="24"/>
          <w:szCs w:val="24"/>
          <w:lang w:eastAsia="ar-SA"/>
        </w:rPr>
        <w:t xml:space="preserve"> </w:t>
      </w:r>
      <w:r w:rsidR="00EC7039">
        <w:rPr>
          <w:rFonts w:ascii="Times New Roman" w:eastAsia="Calibri" w:hAnsi="Times New Roman" w:cs="Times New Roman"/>
          <w:sz w:val="24"/>
          <w:szCs w:val="24"/>
          <w:lang w:eastAsia="ar-SA"/>
        </w:rPr>
        <w:t>87.528,33</w:t>
      </w:r>
      <w:r w:rsidR="00BA025B" w:rsidRPr="00E721E2">
        <w:rPr>
          <w:rFonts w:ascii="Times New Roman" w:eastAsia="Calibri" w:hAnsi="Times New Roman" w:cs="Times New Roman"/>
          <w:sz w:val="24"/>
          <w:szCs w:val="24"/>
          <w:lang w:eastAsia="ar-SA"/>
        </w:rPr>
        <w:t xml:space="preserve"> eura,</w:t>
      </w:r>
      <w:r w:rsidR="00785A12" w:rsidRPr="00E721E2">
        <w:rPr>
          <w:rFonts w:ascii="Times New Roman" w:eastAsia="Calibri" w:hAnsi="Times New Roman" w:cs="Times New Roman"/>
          <w:sz w:val="24"/>
          <w:szCs w:val="24"/>
          <w:lang w:eastAsia="ar-SA"/>
        </w:rPr>
        <w:t xml:space="preserve"> </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prenesenog</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 xml:space="preserve"> </w:t>
      </w:r>
      <w:r w:rsidR="00BA025B" w:rsidRPr="00E721E2">
        <w:rPr>
          <w:rFonts w:ascii="Times New Roman" w:eastAsia="Calibri" w:hAnsi="Times New Roman" w:cs="Times New Roman"/>
          <w:sz w:val="24"/>
          <w:szCs w:val="24"/>
          <w:lang w:eastAsia="ar-SA"/>
        </w:rPr>
        <w:t>manjka</w:t>
      </w:r>
      <w:r w:rsidR="00785A12" w:rsidRPr="00E721E2">
        <w:rPr>
          <w:rFonts w:ascii="Times New Roman" w:eastAsia="Calibri" w:hAnsi="Times New Roman" w:cs="Times New Roman"/>
          <w:sz w:val="24"/>
          <w:szCs w:val="24"/>
          <w:lang w:eastAsia="ar-SA"/>
        </w:rPr>
        <w:t xml:space="preserve"> </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poslovanja</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 xml:space="preserve"> iz </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202</w:t>
      </w:r>
      <w:r w:rsidR="000D70D9" w:rsidRPr="00E721E2">
        <w:rPr>
          <w:rFonts w:ascii="Times New Roman" w:eastAsia="Calibri" w:hAnsi="Times New Roman" w:cs="Times New Roman"/>
          <w:sz w:val="24"/>
          <w:szCs w:val="24"/>
          <w:lang w:eastAsia="ar-SA"/>
        </w:rPr>
        <w:t>3</w:t>
      </w:r>
      <w:r w:rsidR="00785A12" w:rsidRPr="00E721E2">
        <w:rPr>
          <w:rFonts w:ascii="Times New Roman" w:eastAsia="Calibri" w:hAnsi="Times New Roman" w:cs="Times New Roman"/>
          <w:sz w:val="24"/>
          <w:szCs w:val="24"/>
          <w:lang w:eastAsia="ar-SA"/>
        </w:rPr>
        <w:t xml:space="preserve">. </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godine</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 xml:space="preserve"> u </w:t>
      </w:r>
      <w:r w:rsidR="001D0292">
        <w:rPr>
          <w:rFonts w:ascii="Times New Roman" w:eastAsia="Calibri" w:hAnsi="Times New Roman" w:cs="Times New Roman"/>
          <w:sz w:val="24"/>
          <w:szCs w:val="24"/>
          <w:lang w:eastAsia="ar-SA"/>
        </w:rPr>
        <w:t xml:space="preserve"> </w:t>
      </w:r>
      <w:r w:rsidR="00785A12" w:rsidRPr="00E721E2">
        <w:rPr>
          <w:rFonts w:ascii="Times New Roman" w:eastAsia="Calibri" w:hAnsi="Times New Roman" w:cs="Times New Roman"/>
          <w:sz w:val="24"/>
          <w:szCs w:val="24"/>
          <w:lang w:eastAsia="ar-SA"/>
        </w:rPr>
        <w:t>iznosu od</w:t>
      </w:r>
      <w:r w:rsidR="00635CFC">
        <w:rPr>
          <w:rFonts w:ascii="Times New Roman" w:eastAsia="Calibri" w:hAnsi="Times New Roman" w:cs="Times New Roman"/>
          <w:sz w:val="24"/>
          <w:szCs w:val="24"/>
          <w:lang w:eastAsia="ar-SA"/>
        </w:rPr>
        <w:t xml:space="preserve"> </w:t>
      </w:r>
      <w:r w:rsidR="000D70D9" w:rsidRPr="00E721E2">
        <w:rPr>
          <w:rFonts w:ascii="Times New Roman" w:eastAsia="Calibri" w:hAnsi="Times New Roman" w:cs="Times New Roman"/>
          <w:sz w:val="24"/>
          <w:szCs w:val="24"/>
          <w:lang w:eastAsia="ar-SA"/>
        </w:rPr>
        <w:t>-66.166,21</w:t>
      </w:r>
      <w:r w:rsidR="00BA025B" w:rsidRPr="00E721E2">
        <w:rPr>
          <w:rFonts w:ascii="Times New Roman" w:eastAsia="Calibri" w:hAnsi="Times New Roman" w:cs="Times New Roman"/>
          <w:sz w:val="24"/>
          <w:szCs w:val="24"/>
          <w:lang w:eastAsia="ar-SA"/>
        </w:rPr>
        <w:t xml:space="preserve"> eura</w:t>
      </w:r>
      <w:r w:rsidRPr="00E721E2">
        <w:rPr>
          <w:rFonts w:ascii="Times New Roman" w:eastAsia="Calibri" w:hAnsi="Times New Roman" w:cs="Times New Roman"/>
          <w:sz w:val="24"/>
          <w:szCs w:val="24"/>
          <w:lang w:eastAsia="ar-SA"/>
        </w:rPr>
        <w:t xml:space="preserve"> i umanjenja za izvršenu korekciju rezultata u iznosu od</w:t>
      </w:r>
      <w:r w:rsidR="004103BA" w:rsidRPr="00E721E2">
        <w:rPr>
          <w:rFonts w:ascii="Times New Roman" w:eastAsia="Calibri" w:hAnsi="Times New Roman" w:cs="Times New Roman"/>
          <w:sz w:val="24"/>
          <w:szCs w:val="24"/>
          <w:lang w:eastAsia="ar-SA"/>
        </w:rPr>
        <w:t xml:space="preserve"> </w:t>
      </w:r>
      <w:r w:rsidR="00EC7039">
        <w:rPr>
          <w:rFonts w:ascii="Times New Roman" w:eastAsia="Calibri" w:hAnsi="Times New Roman" w:cs="Times New Roman"/>
          <w:sz w:val="24"/>
          <w:szCs w:val="24"/>
          <w:lang w:eastAsia="ar-SA"/>
        </w:rPr>
        <w:t>98.469,24</w:t>
      </w:r>
      <w:r w:rsidR="00BA025B" w:rsidRPr="00E721E2">
        <w:rPr>
          <w:rFonts w:ascii="Times New Roman" w:eastAsia="Calibri" w:hAnsi="Times New Roman" w:cs="Times New Roman"/>
          <w:sz w:val="24"/>
          <w:szCs w:val="24"/>
          <w:lang w:eastAsia="ar-SA"/>
        </w:rPr>
        <w:t xml:space="preserve"> eura i</w:t>
      </w:r>
      <w:r w:rsidR="00803102" w:rsidRPr="00E721E2">
        <w:rPr>
          <w:rFonts w:ascii="Times New Roman" w:eastAsia="Calibri" w:hAnsi="Times New Roman" w:cs="Times New Roman"/>
          <w:b/>
          <w:sz w:val="24"/>
          <w:szCs w:val="24"/>
          <w:lang w:eastAsia="ar-SA"/>
        </w:rPr>
        <w:t xml:space="preserve"> predstavlja metodološki manjak. </w:t>
      </w:r>
    </w:p>
    <w:p w14:paraId="7685F0E7" w14:textId="77777777" w:rsidR="001E37DF" w:rsidRDefault="001E37DF" w:rsidP="00803102">
      <w:pPr>
        <w:suppressAutoHyphens/>
        <w:spacing w:after="0" w:line="240" w:lineRule="auto"/>
        <w:jc w:val="both"/>
        <w:rPr>
          <w:rFonts w:ascii="Times New Roman" w:eastAsia="Calibri" w:hAnsi="Times New Roman" w:cs="Times New Roman"/>
          <w:b/>
          <w:sz w:val="24"/>
          <w:szCs w:val="24"/>
          <w:lang w:eastAsia="ar-SA"/>
        </w:rPr>
      </w:pPr>
    </w:p>
    <w:p w14:paraId="01351079" w14:textId="77777777" w:rsidR="00413EE5" w:rsidRDefault="00413EE5" w:rsidP="00803102">
      <w:pPr>
        <w:suppressAutoHyphens/>
        <w:spacing w:after="0" w:line="240" w:lineRule="auto"/>
        <w:jc w:val="both"/>
        <w:rPr>
          <w:rFonts w:ascii="Times New Roman" w:eastAsia="Calibri" w:hAnsi="Times New Roman" w:cs="Times New Roman"/>
          <w:b/>
          <w:sz w:val="24"/>
          <w:szCs w:val="24"/>
          <w:lang w:eastAsia="ar-SA"/>
        </w:rPr>
      </w:pPr>
    </w:p>
    <w:p w14:paraId="69935C62" w14:textId="77777777" w:rsidR="008D1232" w:rsidRDefault="008D1232" w:rsidP="00803102">
      <w:pPr>
        <w:suppressAutoHyphens/>
        <w:spacing w:after="0" w:line="240" w:lineRule="auto"/>
        <w:jc w:val="both"/>
        <w:rPr>
          <w:rFonts w:ascii="Times New Roman" w:eastAsia="Calibri" w:hAnsi="Times New Roman" w:cs="Times New Roman"/>
          <w:b/>
          <w:sz w:val="24"/>
          <w:szCs w:val="24"/>
          <w:lang w:eastAsia="ar-SA"/>
        </w:rPr>
      </w:pPr>
    </w:p>
    <w:p w14:paraId="7BEFACD5"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3883C7D8"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4F920967"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27EEB23F"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2000988D"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7667CBE0"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702DC3E4"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50F71296"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2023B83B"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0A0B97AB"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46017235"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1D5A7369"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5098987F"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0B118807"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149E0F25"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3A75FBEB"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65AB9626"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1D7F0AAB"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11C7D428"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61AD10E3"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583A3BAF"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10112F88"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4066D7BA"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6A2559D5"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5DC6CD68" w14:textId="77777777" w:rsidR="00F746D0" w:rsidRDefault="00F746D0" w:rsidP="00803102">
      <w:pPr>
        <w:suppressAutoHyphens/>
        <w:spacing w:after="0" w:line="240" w:lineRule="auto"/>
        <w:jc w:val="both"/>
        <w:rPr>
          <w:rFonts w:ascii="Times New Roman" w:eastAsia="Calibri" w:hAnsi="Times New Roman" w:cs="Times New Roman"/>
          <w:b/>
          <w:sz w:val="24"/>
          <w:szCs w:val="24"/>
          <w:lang w:eastAsia="ar-SA"/>
        </w:rPr>
      </w:pPr>
    </w:p>
    <w:p w14:paraId="073D639C" w14:textId="77777777" w:rsidR="00F746D0" w:rsidRDefault="00F746D0" w:rsidP="00803102">
      <w:pPr>
        <w:suppressAutoHyphens/>
        <w:spacing w:after="0" w:line="240" w:lineRule="auto"/>
        <w:jc w:val="both"/>
        <w:rPr>
          <w:rFonts w:ascii="Times New Roman" w:eastAsia="Calibri" w:hAnsi="Times New Roman" w:cs="Times New Roman"/>
          <w:b/>
          <w:sz w:val="24"/>
          <w:szCs w:val="24"/>
          <w:lang w:eastAsia="ar-SA"/>
        </w:rPr>
      </w:pPr>
    </w:p>
    <w:p w14:paraId="2F6CCE1E" w14:textId="77777777" w:rsidR="00F746D0" w:rsidRDefault="00F746D0" w:rsidP="00803102">
      <w:pPr>
        <w:suppressAutoHyphens/>
        <w:spacing w:after="0" w:line="240" w:lineRule="auto"/>
        <w:jc w:val="both"/>
        <w:rPr>
          <w:rFonts w:ascii="Times New Roman" w:eastAsia="Calibri" w:hAnsi="Times New Roman" w:cs="Times New Roman"/>
          <w:b/>
          <w:sz w:val="24"/>
          <w:szCs w:val="24"/>
          <w:lang w:eastAsia="ar-SA"/>
        </w:rPr>
      </w:pPr>
    </w:p>
    <w:p w14:paraId="440FF118" w14:textId="77777777" w:rsidR="00F746D0" w:rsidRDefault="00F746D0" w:rsidP="00803102">
      <w:pPr>
        <w:suppressAutoHyphens/>
        <w:spacing w:after="0" w:line="240" w:lineRule="auto"/>
        <w:jc w:val="both"/>
        <w:rPr>
          <w:rFonts w:ascii="Times New Roman" w:eastAsia="Calibri" w:hAnsi="Times New Roman" w:cs="Times New Roman"/>
          <w:b/>
          <w:sz w:val="24"/>
          <w:szCs w:val="24"/>
          <w:lang w:eastAsia="ar-SA"/>
        </w:rPr>
      </w:pPr>
    </w:p>
    <w:p w14:paraId="054BBC43" w14:textId="77777777" w:rsidR="00F746D0" w:rsidRDefault="00F746D0" w:rsidP="00803102">
      <w:pPr>
        <w:suppressAutoHyphens/>
        <w:spacing w:after="0" w:line="240" w:lineRule="auto"/>
        <w:jc w:val="both"/>
        <w:rPr>
          <w:rFonts w:ascii="Times New Roman" w:eastAsia="Calibri" w:hAnsi="Times New Roman" w:cs="Times New Roman"/>
          <w:b/>
          <w:sz w:val="24"/>
          <w:szCs w:val="24"/>
          <w:lang w:eastAsia="ar-SA"/>
        </w:rPr>
      </w:pPr>
    </w:p>
    <w:p w14:paraId="7458FD14" w14:textId="77777777" w:rsidR="00191B90" w:rsidRDefault="00191B90" w:rsidP="00803102">
      <w:pPr>
        <w:suppressAutoHyphens/>
        <w:spacing w:after="0" w:line="240" w:lineRule="auto"/>
        <w:jc w:val="both"/>
        <w:rPr>
          <w:rFonts w:ascii="Times New Roman" w:eastAsia="Calibri" w:hAnsi="Times New Roman" w:cs="Times New Roman"/>
          <w:b/>
          <w:sz w:val="24"/>
          <w:szCs w:val="24"/>
          <w:lang w:eastAsia="ar-SA"/>
        </w:rPr>
      </w:pPr>
    </w:p>
    <w:p w14:paraId="73B30155" w14:textId="77777777" w:rsidR="001E37DF" w:rsidRPr="00DD50FA" w:rsidRDefault="001E37DF" w:rsidP="001E37DF">
      <w:pPr>
        <w:spacing w:after="0"/>
        <w:rPr>
          <w:rFonts w:ascii="Times New Roman" w:eastAsia="Calibri" w:hAnsi="Times New Roman" w:cs="Times New Roman"/>
          <w:b/>
          <w:bCs/>
          <w:sz w:val="28"/>
          <w:szCs w:val="28"/>
        </w:rPr>
      </w:pPr>
      <w:bookmarkStart w:id="2" w:name="_Toc107984269"/>
      <w:r w:rsidRPr="00DD50FA">
        <w:rPr>
          <w:rFonts w:ascii="Times New Roman" w:eastAsia="Calibri" w:hAnsi="Times New Roman" w:cs="Times New Roman"/>
          <w:b/>
          <w:bCs/>
          <w:sz w:val="28"/>
          <w:szCs w:val="28"/>
        </w:rPr>
        <w:lastRenderedPageBreak/>
        <w:t>3.2. POSEBNI DIO – OPIS AKTIVNOSTI</w:t>
      </w:r>
    </w:p>
    <w:p w14:paraId="35470C98" w14:textId="77777777" w:rsidR="001E37DF" w:rsidRPr="00DD50FA" w:rsidRDefault="001E37DF" w:rsidP="001E37DF">
      <w:pPr>
        <w:spacing w:after="0" w:line="240" w:lineRule="auto"/>
        <w:jc w:val="both"/>
        <w:rPr>
          <w:rFonts w:ascii="Times New Roman" w:eastAsia="Calibri" w:hAnsi="Times New Roman" w:cs="Times New Roman"/>
          <w:sz w:val="20"/>
          <w:szCs w:val="20"/>
        </w:rPr>
      </w:pPr>
    </w:p>
    <w:p w14:paraId="01BB00A9" w14:textId="77777777" w:rsidR="001E37DF" w:rsidRPr="00DD50FA" w:rsidRDefault="001E37DF" w:rsidP="001E37DF">
      <w:pPr>
        <w:spacing w:after="0" w:line="240" w:lineRule="auto"/>
        <w:jc w:val="both"/>
        <w:rPr>
          <w:rFonts w:ascii="Times New Roman" w:eastAsia="Calibri" w:hAnsi="Times New Roman" w:cs="Times New Roman"/>
          <w:sz w:val="24"/>
          <w:szCs w:val="24"/>
        </w:rPr>
      </w:pPr>
      <w:r w:rsidRPr="00DD50FA">
        <w:rPr>
          <w:rFonts w:ascii="Times New Roman" w:eastAsia="Calibri" w:hAnsi="Times New Roman" w:cs="Times New Roman"/>
          <w:sz w:val="24"/>
          <w:szCs w:val="24"/>
        </w:rPr>
        <w:t>Razvojna agencija PORA KKŽ u razdoblju od 1. siječnja do 31. prosinca 2024. godine provodila je aktivnosti sukladno Programu rada – PROGRAM 1013 Strateško planiranje, regionalni i ruralni razvoj te poticanje poduzetništva, priprema i provedba razvojnih projekata i Financijskom planu Razvojne agencije PORE KKŽ za 2024. godinu koje su obuhvaćale poslove strateškog planiranja i regionalnog razvoja, poticanja poduzetništva te pružanje stručne pomoći u pripremi i provedbi projekata (su)financiranih sredstvima iz Europskih strukturnih i investicijskih fondova, a sukladno Zakonu o regionalnom razvoju Republike Hrvatske.</w:t>
      </w:r>
    </w:p>
    <w:p w14:paraId="7E14F3E9" w14:textId="77777777" w:rsidR="001E37DF" w:rsidRPr="00DD50FA" w:rsidRDefault="001E37DF" w:rsidP="001E37DF">
      <w:pPr>
        <w:spacing w:after="0" w:line="240" w:lineRule="auto"/>
        <w:jc w:val="both"/>
        <w:rPr>
          <w:rFonts w:ascii="Times New Roman" w:eastAsia="Calibri" w:hAnsi="Times New Roman" w:cs="Times New Roman"/>
          <w:sz w:val="24"/>
          <w:szCs w:val="24"/>
        </w:rPr>
      </w:pPr>
    </w:p>
    <w:p w14:paraId="04DE2B69" w14:textId="77777777" w:rsidR="001E37DF" w:rsidRPr="00DD50FA" w:rsidRDefault="001E37DF" w:rsidP="001E37DF">
      <w:pPr>
        <w:spacing w:after="0" w:line="240" w:lineRule="auto"/>
        <w:jc w:val="both"/>
        <w:rPr>
          <w:rFonts w:ascii="Times New Roman" w:eastAsia="Calibri" w:hAnsi="Times New Roman" w:cs="Times New Roman"/>
          <w:b/>
          <w:bCs/>
          <w:sz w:val="24"/>
          <w:szCs w:val="24"/>
        </w:rPr>
      </w:pPr>
      <w:r w:rsidRPr="00DD50FA">
        <w:rPr>
          <w:rFonts w:ascii="Times New Roman" w:eastAsia="Calibri" w:hAnsi="Times New Roman" w:cs="Times New Roman"/>
          <w:b/>
          <w:bCs/>
          <w:sz w:val="24"/>
          <w:szCs w:val="24"/>
        </w:rPr>
        <w:t>3.2.1. AKTIVNOST A100025 STRATEŠKO PLANIRANJE, REGIONALNI RAZVOJ TE POTICANJE PODUZETNIŠTVA</w:t>
      </w:r>
    </w:p>
    <w:p w14:paraId="5A3405A1" w14:textId="77777777" w:rsidR="001E37DF" w:rsidRPr="00DD50FA" w:rsidRDefault="001E37DF" w:rsidP="001E37DF">
      <w:pPr>
        <w:spacing w:after="0" w:line="240" w:lineRule="auto"/>
        <w:jc w:val="both"/>
        <w:rPr>
          <w:rFonts w:ascii="Times New Roman" w:eastAsia="Calibri" w:hAnsi="Times New Roman" w:cs="Times New Roman"/>
          <w:b/>
          <w:bCs/>
          <w:sz w:val="20"/>
          <w:szCs w:val="20"/>
        </w:rPr>
      </w:pPr>
    </w:p>
    <w:p w14:paraId="18C8CAF5" w14:textId="77777777" w:rsidR="001E37DF" w:rsidRPr="00DD50FA" w:rsidRDefault="001E37DF" w:rsidP="001E37DF">
      <w:pPr>
        <w:pStyle w:val="ListParagraph"/>
        <w:numPr>
          <w:ilvl w:val="3"/>
          <w:numId w:val="15"/>
        </w:numPr>
        <w:spacing w:after="0" w:line="240" w:lineRule="auto"/>
        <w:jc w:val="both"/>
        <w:rPr>
          <w:rFonts w:ascii="Times New Roman" w:eastAsia="Calibri" w:hAnsi="Times New Roman" w:cs="Times New Roman"/>
          <w:b/>
          <w:bCs/>
          <w:sz w:val="24"/>
          <w:szCs w:val="24"/>
        </w:rPr>
      </w:pPr>
      <w:r w:rsidRPr="00DD50FA">
        <w:rPr>
          <w:rFonts w:ascii="Times New Roman" w:eastAsia="Calibri" w:hAnsi="Times New Roman" w:cs="Times New Roman"/>
          <w:b/>
          <w:bCs/>
          <w:sz w:val="24"/>
          <w:szCs w:val="24"/>
        </w:rPr>
        <w:t xml:space="preserve"> STRATEŠKO PLANIRANJE I REGIONALNI RAZVOJ</w:t>
      </w:r>
    </w:p>
    <w:p w14:paraId="6A1EC7D5" w14:textId="77777777" w:rsidR="001E37DF" w:rsidRPr="00DD50FA" w:rsidRDefault="001E37DF" w:rsidP="001E37DF">
      <w:pPr>
        <w:spacing w:after="0" w:line="240" w:lineRule="auto"/>
        <w:jc w:val="both"/>
        <w:rPr>
          <w:rFonts w:ascii="Times New Roman" w:eastAsia="Calibri" w:hAnsi="Times New Roman" w:cs="Times New Roman"/>
          <w:b/>
          <w:bCs/>
          <w:sz w:val="20"/>
          <w:szCs w:val="20"/>
        </w:rPr>
      </w:pPr>
    </w:p>
    <w:p w14:paraId="39E52460" w14:textId="3991A813" w:rsidR="001E37DF" w:rsidRPr="00DD50FA" w:rsidRDefault="001E37DF" w:rsidP="001E37DF">
      <w:pPr>
        <w:spacing w:after="0" w:line="240" w:lineRule="auto"/>
        <w:jc w:val="both"/>
        <w:rPr>
          <w:rFonts w:ascii="Times New Roman" w:eastAsia="Calibri" w:hAnsi="Times New Roman" w:cs="Times New Roman"/>
          <w:b/>
          <w:bCs/>
          <w:sz w:val="24"/>
          <w:szCs w:val="24"/>
        </w:rPr>
      </w:pPr>
      <w:bookmarkStart w:id="3" w:name="_Hlk155958324"/>
      <w:r w:rsidRPr="00DD50FA">
        <w:rPr>
          <w:rFonts w:ascii="Times New Roman" w:eastAsia="Calibri" w:hAnsi="Times New Roman" w:cs="Times New Roman"/>
          <w:b/>
          <w:sz w:val="24"/>
          <w:szCs w:val="24"/>
        </w:rPr>
        <w:t>KOORDINACIJA PRIPREME I PRIPREMA IZVJEŠĆA O PROVEDBI PLANA RAZVOJA KKŽ 2021-2027. ZA 2023. GODINU</w:t>
      </w:r>
    </w:p>
    <w:p w14:paraId="26B1433B" w14:textId="77777777" w:rsidR="001E37DF" w:rsidRPr="00DD50FA" w:rsidRDefault="001E37DF" w:rsidP="001E37DF">
      <w:pPr>
        <w:spacing w:after="0" w:line="240" w:lineRule="auto"/>
        <w:jc w:val="both"/>
        <w:rPr>
          <w:rFonts w:ascii="Times New Roman" w:eastAsia="Calibri" w:hAnsi="Times New Roman" w:cs="Times New Roman"/>
          <w:iCs/>
          <w:sz w:val="24"/>
          <w:szCs w:val="24"/>
        </w:rPr>
      </w:pPr>
      <w:bookmarkStart w:id="4" w:name="_Hlk155958475"/>
      <w:bookmarkEnd w:id="3"/>
      <w:r w:rsidRPr="00DD50FA">
        <w:rPr>
          <w:rFonts w:ascii="Times New Roman" w:eastAsia="Calibri" w:hAnsi="Times New Roman" w:cs="Times New Roman"/>
          <w:iCs/>
          <w:sz w:val="24"/>
          <w:szCs w:val="24"/>
        </w:rPr>
        <w:t xml:space="preserve">Temeljne aktivnosti Razvojne agencije PORE KKŽ kao regionalnog koordinatora u pripremi Izvješća o provedbi Plana razvoja KKŽ 2021-2027. za 2023. godinu bile su sljedeće: </w:t>
      </w:r>
    </w:p>
    <w:p w14:paraId="796CE56E" w14:textId="77777777" w:rsidR="001E37DF" w:rsidRPr="00DD50FA" w:rsidRDefault="001E37DF" w:rsidP="001E37DF">
      <w:pPr>
        <w:pStyle w:val="ListParagraph"/>
        <w:numPr>
          <w:ilvl w:val="0"/>
          <w:numId w:val="1"/>
        </w:numPr>
        <w:spacing w:after="0" w:line="240" w:lineRule="auto"/>
        <w:jc w:val="both"/>
        <w:rPr>
          <w:rFonts w:ascii="Times New Roman" w:eastAsia="Calibri" w:hAnsi="Times New Roman" w:cs="Times New Roman"/>
          <w:b/>
          <w:iCs/>
          <w:sz w:val="24"/>
          <w:szCs w:val="24"/>
        </w:rPr>
      </w:pPr>
      <w:r w:rsidRPr="00DD50FA">
        <w:rPr>
          <w:rFonts w:ascii="Times New Roman" w:eastAsia="Calibri" w:hAnsi="Times New Roman" w:cs="Times New Roman"/>
          <w:iCs/>
          <w:sz w:val="24"/>
          <w:szCs w:val="24"/>
        </w:rPr>
        <w:t>kontinuirana koordinacija i prikupljanje podataka od strane članova Radne grupe za izradu, provedbu i izvješćivanje o provedbi Plana razvoja Koprivničko-križevačke županije za razdoblje 2021.-2027. (u daljnjem tekstu Radna grupa) o provedenim mjerama i izrada završne verzije izvješća o provedbi Plana razvoja Koprivničko-križevačke županije 2021-2027. za 2023. godinu sukladno metodologiji definiranoj od strane Ministarstva regionalnoga razvoja i fondova Europske unije (u daljnjem tekstu MRRFEU) i dostava Nacrta članovima Radne grupe na očitovanje.</w:t>
      </w:r>
      <w:bookmarkEnd w:id="4"/>
      <w:r w:rsidRPr="00DD50FA">
        <w:rPr>
          <w:rFonts w:ascii="Times New Roman" w:eastAsia="Calibri" w:hAnsi="Times New Roman" w:cs="Times New Roman"/>
          <w:iCs/>
          <w:sz w:val="24"/>
          <w:szCs w:val="24"/>
        </w:rPr>
        <w:t xml:space="preserve"> Izvješće je usvojeno na 18. sjednici Županijske skupštine Koprivničko-križevačke županije 20. svibnja 2024. </w:t>
      </w:r>
    </w:p>
    <w:p w14:paraId="237E89A7" w14:textId="77777777" w:rsidR="00191B90" w:rsidRDefault="00191B90" w:rsidP="001E37DF">
      <w:pPr>
        <w:pStyle w:val="ListParagraph"/>
        <w:tabs>
          <w:tab w:val="left" w:pos="567"/>
        </w:tabs>
        <w:spacing w:after="0" w:line="240" w:lineRule="auto"/>
        <w:ind w:left="0"/>
        <w:jc w:val="both"/>
        <w:rPr>
          <w:rFonts w:ascii="Times New Roman" w:eastAsia="Calibri" w:hAnsi="Times New Roman" w:cs="Times New Roman"/>
          <w:b/>
          <w:sz w:val="24"/>
          <w:szCs w:val="24"/>
        </w:rPr>
      </w:pPr>
    </w:p>
    <w:p w14:paraId="61AA933D" w14:textId="08431A8A" w:rsidR="001E37DF" w:rsidRPr="00DD50FA" w:rsidRDefault="001E37DF" w:rsidP="001E37DF">
      <w:pPr>
        <w:pStyle w:val="ListParagraph"/>
        <w:tabs>
          <w:tab w:val="left" w:pos="567"/>
        </w:tabs>
        <w:spacing w:after="0" w:line="240" w:lineRule="auto"/>
        <w:ind w:left="0"/>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 xml:space="preserve">KOORDINACIJA PRIPREME I PRIPREMA IZVJEŠĆA O PROVEDBI PROVEDBENOG PROGRAMA KKŽ ZA RAZDOBLJE 2021. DO 2025. GODINE ZA 2023. GODINU </w:t>
      </w:r>
    </w:p>
    <w:p w14:paraId="67DF62C0" w14:textId="77777777" w:rsidR="001E37DF" w:rsidRPr="00DD50FA" w:rsidRDefault="001E37DF" w:rsidP="001E37DF">
      <w:pPr>
        <w:pStyle w:val="ListParagraph"/>
        <w:tabs>
          <w:tab w:val="left" w:pos="567"/>
        </w:tabs>
        <w:spacing w:after="0" w:line="240" w:lineRule="auto"/>
        <w:ind w:left="0"/>
        <w:jc w:val="both"/>
        <w:rPr>
          <w:rFonts w:ascii="Times New Roman" w:eastAsia="Calibri" w:hAnsi="Times New Roman" w:cs="Times New Roman"/>
          <w:iCs/>
          <w:sz w:val="24"/>
          <w:szCs w:val="24"/>
        </w:rPr>
      </w:pPr>
      <w:r w:rsidRPr="00DD50FA">
        <w:rPr>
          <w:rFonts w:ascii="Times New Roman" w:eastAsia="Calibri" w:hAnsi="Times New Roman" w:cs="Times New Roman"/>
          <w:iCs/>
          <w:sz w:val="24"/>
          <w:szCs w:val="24"/>
        </w:rPr>
        <w:t xml:space="preserve">Temeljne aktivnosti Razvojne agencije PORE KKŽ kao regionalnog koordinatora u pripremi Izvješća o provedbi </w:t>
      </w:r>
      <w:bookmarkStart w:id="5" w:name="_Hlk155958762"/>
      <w:r w:rsidRPr="00DD50FA">
        <w:rPr>
          <w:rFonts w:ascii="Times New Roman" w:eastAsia="Calibri" w:hAnsi="Times New Roman" w:cs="Times New Roman"/>
          <w:iCs/>
          <w:sz w:val="24"/>
          <w:szCs w:val="24"/>
        </w:rPr>
        <w:t>Provedbenog programa KKŽ za razdoblje 2021. do 2025. godine za 2023. godinu</w:t>
      </w:r>
      <w:bookmarkEnd w:id="5"/>
      <w:r w:rsidRPr="00DD50FA">
        <w:rPr>
          <w:rFonts w:ascii="Times New Roman" w:eastAsia="Calibri" w:hAnsi="Times New Roman" w:cs="Times New Roman"/>
          <w:iCs/>
          <w:sz w:val="24"/>
          <w:szCs w:val="24"/>
        </w:rPr>
        <w:t xml:space="preserve"> bile su sljedeće: </w:t>
      </w:r>
    </w:p>
    <w:p w14:paraId="7FDC468C" w14:textId="77777777" w:rsidR="001E37DF" w:rsidRPr="00DD50FA" w:rsidRDefault="001E37DF" w:rsidP="001E37DF">
      <w:pPr>
        <w:pStyle w:val="ListParagraph"/>
        <w:numPr>
          <w:ilvl w:val="0"/>
          <w:numId w:val="1"/>
        </w:numPr>
        <w:spacing w:after="0" w:line="240" w:lineRule="auto"/>
        <w:jc w:val="both"/>
        <w:rPr>
          <w:rFonts w:ascii="Times New Roman" w:eastAsia="Calibri" w:hAnsi="Times New Roman" w:cs="Times New Roman"/>
          <w:b/>
          <w:sz w:val="24"/>
          <w:szCs w:val="24"/>
        </w:rPr>
      </w:pPr>
      <w:r w:rsidRPr="00DD50FA">
        <w:rPr>
          <w:rFonts w:ascii="Times New Roman" w:eastAsia="Calibri" w:hAnsi="Times New Roman" w:cs="Times New Roman"/>
          <w:iCs/>
          <w:sz w:val="24"/>
          <w:szCs w:val="24"/>
        </w:rPr>
        <w:t>kontinuirana koordinacija i prikupljanje podataka od pročelnika upravnih odjela KKŽ i ravnatelja županijskih ustanova o provedenim mjerama i ostvarenim indikatorima. Sastavljanje opisnog dijela i Priloga (financije i indikatori) Izvješća o provedbi Provedbenog programa KKŽ za razdoblje 2021. do 2025. godine za 2023. godinu sukladno metodologiji definiranoj od strane MRRFEU. Izvješće je dostavljeno KKŽ te je Razvojna agencija PORA KKŽ poveznicu na isto dostavila u MRRFEU.</w:t>
      </w:r>
    </w:p>
    <w:p w14:paraId="43786DBE" w14:textId="77777777" w:rsidR="00191B90" w:rsidRDefault="00191B90" w:rsidP="001E37DF">
      <w:pPr>
        <w:pStyle w:val="ListParagraph"/>
        <w:spacing w:after="0" w:line="240" w:lineRule="auto"/>
        <w:ind w:left="0"/>
        <w:jc w:val="both"/>
        <w:rPr>
          <w:rFonts w:ascii="Times New Roman" w:eastAsia="Calibri" w:hAnsi="Times New Roman" w:cs="Times New Roman"/>
          <w:b/>
          <w:sz w:val="24"/>
          <w:szCs w:val="24"/>
        </w:rPr>
      </w:pPr>
    </w:p>
    <w:p w14:paraId="408B7127" w14:textId="1AB2411B" w:rsidR="001E37DF" w:rsidRPr="00DD50FA" w:rsidRDefault="001E37DF" w:rsidP="001E37DF">
      <w:pPr>
        <w:pStyle w:val="ListParagraph"/>
        <w:spacing w:after="0" w:line="240" w:lineRule="auto"/>
        <w:ind w:left="0"/>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SUDJELOVANJE U PARTNERSKOM VIJEĆU ZA IZRADU STRATEGIJE MANJEG URBANOG PODRUČJA  KOPRIVNICA ZA FINANCIJSKO RAZDOBLJE 2021.-2027.</w:t>
      </w:r>
    </w:p>
    <w:p w14:paraId="4080CE98" w14:textId="77777777" w:rsidR="001E37DF" w:rsidRPr="00DD50FA" w:rsidRDefault="001E37DF" w:rsidP="001E37DF">
      <w:pPr>
        <w:spacing w:after="0" w:line="240" w:lineRule="auto"/>
        <w:jc w:val="both"/>
        <w:rPr>
          <w:rFonts w:ascii="Times New Roman" w:hAnsi="Times New Roman" w:cs="Times New Roman"/>
          <w:color w:val="FF0000"/>
          <w:sz w:val="24"/>
          <w:szCs w:val="24"/>
        </w:rPr>
      </w:pPr>
      <w:r w:rsidRPr="00DD50FA">
        <w:rPr>
          <w:rFonts w:ascii="Times New Roman" w:hAnsi="Times New Roman" w:cs="Times New Roman"/>
          <w:sz w:val="24"/>
          <w:szCs w:val="24"/>
        </w:rPr>
        <w:t xml:space="preserve">Razvojna agencija PORA KKŽ je kao član Partnerskog vijeća za izradu Strategije manjeg urbanog područja Koprivnica za financijsko razdoblje 2021.-2027. godine sudjelovala na dvije održane sjednice. </w:t>
      </w:r>
    </w:p>
    <w:p w14:paraId="28826680" w14:textId="0800A303" w:rsidR="001E37DF" w:rsidRPr="00DD50FA" w:rsidRDefault="001E37DF" w:rsidP="001E37DF">
      <w:pPr>
        <w:spacing w:after="0" w:line="240" w:lineRule="auto"/>
        <w:jc w:val="both"/>
        <w:rPr>
          <w:rFonts w:ascii="Times New Roman" w:hAnsi="Times New Roman"/>
          <w:b/>
          <w:sz w:val="24"/>
          <w:szCs w:val="24"/>
        </w:rPr>
      </w:pPr>
      <w:r w:rsidRPr="00DD50FA">
        <w:rPr>
          <w:rFonts w:ascii="Times New Roman" w:hAnsi="Times New Roman"/>
          <w:b/>
          <w:sz w:val="24"/>
          <w:szCs w:val="24"/>
        </w:rPr>
        <w:lastRenderedPageBreak/>
        <w:t>PRIPREMA I PODNOŠENJE IZVJEŠTAJA O REALIZACIJI RAZVOJNOG SPORAZUMA ZA SJEVER HRVATSKE ZA KKŽ</w:t>
      </w:r>
    </w:p>
    <w:p w14:paraId="2DA308B4" w14:textId="77777777" w:rsidR="001E37DF" w:rsidRPr="00DD50FA" w:rsidRDefault="001E37DF" w:rsidP="001E37DF">
      <w:pPr>
        <w:spacing w:after="0" w:line="240" w:lineRule="auto"/>
        <w:jc w:val="both"/>
        <w:rPr>
          <w:rFonts w:ascii="Times New Roman" w:hAnsi="Times New Roman"/>
          <w:bCs/>
          <w:sz w:val="24"/>
          <w:szCs w:val="24"/>
        </w:rPr>
      </w:pPr>
      <w:r w:rsidRPr="00DD50FA">
        <w:rPr>
          <w:rFonts w:ascii="Times New Roman" w:hAnsi="Times New Roman"/>
          <w:bCs/>
          <w:sz w:val="24"/>
          <w:szCs w:val="24"/>
        </w:rPr>
        <w:t xml:space="preserve">Razvojni sporazum potpisan je 27. prosinca 2021., a u njemu sudjeluju Varaždinska, Međimurska, Krapinsko-zagorska, Bjelovarsko-bilogorska i Koprivničko-križevačka županija. Ukupna alokacija za KKŽ za šest projekata iznosi 409.848.032,38 eura, a za projektno-tehničku dokumentaciju 1.592.673,70 eura. Razvojna agencija PORA KKŽ kao regionalni koordinator za područje KKŽ ovlaštena je za podnošenje tromjesečnih izvještaja o provedbi Razvojnog sporazuma za sjever Hrvatske za KKŽ. </w:t>
      </w:r>
    </w:p>
    <w:p w14:paraId="6291B0D0" w14:textId="77777777" w:rsidR="001E37DF" w:rsidRPr="00DD50FA" w:rsidRDefault="001E37DF" w:rsidP="001E37DF">
      <w:pPr>
        <w:spacing w:after="0" w:line="240" w:lineRule="auto"/>
        <w:jc w:val="both"/>
        <w:rPr>
          <w:rFonts w:ascii="Times New Roman" w:hAnsi="Times New Roman"/>
          <w:bCs/>
          <w:sz w:val="24"/>
          <w:szCs w:val="24"/>
        </w:rPr>
      </w:pPr>
      <w:r w:rsidRPr="00DD50FA">
        <w:rPr>
          <w:rFonts w:ascii="Times New Roman" w:hAnsi="Times New Roman"/>
          <w:bCs/>
          <w:sz w:val="24"/>
          <w:szCs w:val="24"/>
        </w:rPr>
        <w:t>Razvojna agencija PORA KKŽ izradila je i dostavila u MRRFEU ukupno 5 tromjesečnih izvješća o provedbi Razvojnog sporazuma za sjever Hrvatske za KKŽ.</w:t>
      </w:r>
    </w:p>
    <w:p w14:paraId="510447B7" w14:textId="77777777" w:rsidR="00191B90" w:rsidRDefault="00191B90" w:rsidP="001E37DF">
      <w:pPr>
        <w:pStyle w:val="ListParagraph"/>
        <w:spacing w:after="0" w:line="240" w:lineRule="auto"/>
        <w:ind w:left="0"/>
        <w:jc w:val="both"/>
        <w:rPr>
          <w:rFonts w:ascii="Times New Roman" w:eastAsia="Calibri" w:hAnsi="Times New Roman" w:cs="Times New Roman"/>
          <w:b/>
          <w:sz w:val="24"/>
          <w:szCs w:val="24"/>
        </w:rPr>
      </w:pPr>
    </w:p>
    <w:p w14:paraId="0A390A16" w14:textId="7E16F00E" w:rsidR="001E37DF" w:rsidRPr="00DD50FA" w:rsidRDefault="001E37DF" w:rsidP="001E37DF">
      <w:pPr>
        <w:pStyle w:val="ListParagraph"/>
        <w:spacing w:after="0" w:line="240" w:lineRule="auto"/>
        <w:ind w:left="0"/>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SURADNJA I PRUŽANJE STRUČNE POMOĆI JLP(R)S-ima I JAVNOPRAVNIM TIJELIMA</w:t>
      </w:r>
    </w:p>
    <w:p w14:paraId="49449E65" w14:textId="77777777" w:rsidR="001E37DF" w:rsidRPr="00DD50FA" w:rsidRDefault="001E37DF" w:rsidP="001E37DF">
      <w:pPr>
        <w:spacing w:after="0" w:line="240" w:lineRule="auto"/>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Tijekom 2024. godine kontinuirano su organizirani sastanci s jedinicama lokalne samouprave i KKŽ na teme vezane uz aktualne natječaje i otvorene Javne pozive za JLP(R)S-e i javnopravna tijela, kao i Bazu projekata Plana razvoja KKŽ za razdoblje 2021.-2027. svih JLP(R)S-a koju Razvojna agencija PORA KKŽ kontinuirano ažurira.</w:t>
      </w:r>
    </w:p>
    <w:p w14:paraId="687D6F91" w14:textId="00B0F099" w:rsidR="001E37DF" w:rsidRPr="00DD50FA" w:rsidRDefault="00147A2F" w:rsidP="001E37DF">
      <w:pPr>
        <w:tabs>
          <w:tab w:val="left" w:pos="709"/>
        </w:tabs>
        <w:spacing w:after="0" w:line="240" w:lineRule="auto"/>
        <w:ind w:left="709"/>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 xml:space="preserve">Pružanje stručne pomoći i obavljanja poslova nadzora i koordinacije provedbenih programa </w:t>
      </w:r>
      <w:r w:rsidR="001E37DF" w:rsidRPr="00DD50FA">
        <w:rPr>
          <w:rFonts w:ascii="Times New Roman" w:eastAsia="Calibri" w:hAnsi="Times New Roman" w:cs="Times New Roman"/>
          <w:b/>
          <w:sz w:val="24"/>
          <w:szCs w:val="24"/>
        </w:rPr>
        <w:t>JLP(R)S-a</w:t>
      </w:r>
    </w:p>
    <w:p w14:paraId="2F2DF694" w14:textId="77777777" w:rsidR="001E37DF" w:rsidRPr="00DD50FA" w:rsidRDefault="001E37DF" w:rsidP="001E37DF">
      <w:pPr>
        <w:spacing w:after="0" w:line="240" w:lineRule="auto"/>
        <w:contextualSpacing/>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 xml:space="preserve">Sukladno Zakonu o sustavu strateškog planiranja i upravljanja razvojem RH obveza jedinica regionalne i lokalne samouprave je izrada i donošenje provedbenih programa kao kratkoročnih  akata strateškog planiranja za vrijeme trajanja mandata izvršnog tijela jedinice lokalne i područne (regionalne) samouprave. </w:t>
      </w:r>
    </w:p>
    <w:p w14:paraId="11594AA2" w14:textId="77777777" w:rsidR="001E37DF" w:rsidRPr="00DD50FA" w:rsidRDefault="001E37DF" w:rsidP="001E37DF">
      <w:pPr>
        <w:spacing w:after="0" w:line="240" w:lineRule="auto"/>
        <w:contextualSpacing/>
        <w:jc w:val="both"/>
        <w:rPr>
          <w:rFonts w:ascii="Times New Roman" w:eastAsia="Calibri" w:hAnsi="Times New Roman" w:cs="Times New Roman"/>
          <w:bCs/>
          <w:sz w:val="24"/>
          <w:szCs w:val="24"/>
        </w:rPr>
      </w:pPr>
      <w:r w:rsidRPr="00DD50FA">
        <w:rPr>
          <w:rFonts w:ascii="Times New Roman" w:hAnsi="Times New Roman" w:cs="Times New Roman"/>
          <w:sz w:val="24"/>
          <w:szCs w:val="24"/>
        </w:rPr>
        <w:t>U okviru navedenog, Razvojna agencija PORA KKŽ provela je sljedeće aktivnosti:</w:t>
      </w:r>
    </w:p>
    <w:p w14:paraId="2990EB8A" w14:textId="77777777" w:rsidR="001E37DF" w:rsidRPr="00DD50FA" w:rsidRDefault="001E37DF" w:rsidP="001E37DF">
      <w:pPr>
        <w:pStyle w:val="ListParagraph"/>
        <w:numPr>
          <w:ilvl w:val="0"/>
          <w:numId w:val="1"/>
        </w:numPr>
        <w:spacing w:after="0" w:line="240" w:lineRule="auto"/>
        <w:ind w:left="709" w:hanging="283"/>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prikupljanje poveznica na kojima su općine i gradovi objavili godišnja izvješća (25 jedinica lokalne samouprave) za razdoblje 2021.-2025. za 2023. godinu (izvještajno razdoblje: 01.01.2023.-31.12.2023.) te dostavljanje istih u MRRFEU,</w:t>
      </w:r>
    </w:p>
    <w:p w14:paraId="37A8D9EF" w14:textId="77777777" w:rsidR="001E37DF" w:rsidRPr="00DD50FA" w:rsidRDefault="001E37DF" w:rsidP="001E37DF">
      <w:pPr>
        <w:pStyle w:val="ListParagraph"/>
        <w:numPr>
          <w:ilvl w:val="0"/>
          <w:numId w:val="1"/>
        </w:numPr>
        <w:spacing w:after="0" w:line="240" w:lineRule="auto"/>
        <w:ind w:left="709" w:hanging="283"/>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kontinuirana usmena i pismena komunikacija s lokalnim koordinatorima i prijenos svih informacija dobivenih od MRRFEU te dostava u MRRFEU svih traženih informacija i podataka od lokalnih koordinatora.</w:t>
      </w:r>
    </w:p>
    <w:p w14:paraId="63BD86A1" w14:textId="29595034" w:rsidR="001E37DF" w:rsidRPr="00DD50FA" w:rsidRDefault="00147A2F" w:rsidP="001E37DF">
      <w:pPr>
        <w:spacing w:after="0" w:line="240" w:lineRule="auto"/>
        <w:ind w:left="709"/>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 xml:space="preserve">Pružanje podrške u djelovanju </w:t>
      </w:r>
      <w:r w:rsidR="001E37DF" w:rsidRPr="00DD50FA">
        <w:rPr>
          <w:rFonts w:ascii="Times New Roman" w:eastAsia="Calibri" w:hAnsi="Times New Roman" w:cs="Times New Roman"/>
          <w:b/>
          <w:sz w:val="24"/>
          <w:szCs w:val="24"/>
        </w:rPr>
        <w:t xml:space="preserve">JLP(R)S-a </w:t>
      </w:r>
      <w:r w:rsidRPr="00DD50FA">
        <w:rPr>
          <w:rFonts w:ascii="Times New Roman" w:eastAsia="Calibri" w:hAnsi="Times New Roman" w:cs="Times New Roman"/>
          <w:b/>
          <w:sz w:val="24"/>
          <w:szCs w:val="24"/>
        </w:rPr>
        <w:t xml:space="preserve">vezano za regionalni razvoj </w:t>
      </w:r>
    </w:p>
    <w:p w14:paraId="78E2C266" w14:textId="77777777" w:rsidR="001E37DF" w:rsidRPr="00DD50FA" w:rsidRDefault="001E37DF" w:rsidP="001E37DF">
      <w:pPr>
        <w:spacing w:after="0" w:line="240" w:lineRule="auto"/>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Tijekom godine PORA je kontinuirano surađivala s JLS-ima vezano uz ažuriranje Baze projekata Plana razvoja KKŽ za razdoblje 2021.-2027. te je djelovala kao stručna pomoć JLS-ima u osmišljavanju, kreiranju i pripremi novih projekata.</w:t>
      </w:r>
    </w:p>
    <w:p w14:paraId="2E48C32F" w14:textId="77777777" w:rsidR="001E37DF" w:rsidRPr="00DD50FA" w:rsidRDefault="001E37DF" w:rsidP="001E37DF">
      <w:pPr>
        <w:spacing w:after="0" w:line="240" w:lineRule="auto"/>
        <w:jc w:val="both"/>
        <w:rPr>
          <w:rFonts w:ascii="Times New Roman" w:eastAsia="Calibri" w:hAnsi="Times New Roman" w:cs="Times New Roman"/>
          <w:bCs/>
          <w:sz w:val="24"/>
          <w:szCs w:val="24"/>
        </w:rPr>
      </w:pPr>
      <w:bookmarkStart w:id="6" w:name="_Hlk124320588"/>
      <w:r w:rsidRPr="00DD50FA">
        <w:rPr>
          <w:rFonts w:ascii="Times New Roman" w:eastAsia="Calibri" w:hAnsi="Times New Roman" w:cs="Times New Roman"/>
          <w:bCs/>
          <w:sz w:val="24"/>
          <w:szCs w:val="24"/>
        </w:rPr>
        <w:t xml:space="preserve">Informirala je i pružala stručnu pomoć u pripremi projektnih prijava jedinicama lokalne samouprave, ustanovama i KKŽ. Pružena je podrška u pripremi i provedbi ukupno 67 projektnih prijava u iznosu od 9.294.269,40 EUR za ukupno 19 korisnika (16 jedinica lokalne samouprave, dvije osnovne škole i KKŽ). </w:t>
      </w:r>
    </w:p>
    <w:p w14:paraId="30C2CA04" w14:textId="77777777" w:rsidR="00191B90" w:rsidRDefault="00191B90" w:rsidP="001E37DF">
      <w:pPr>
        <w:spacing w:after="0" w:line="240" w:lineRule="auto"/>
        <w:jc w:val="both"/>
        <w:rPr>
          <w:rFonts w:ascii="Times New Roman" w:eastAsia="Calibri" w:hAnsi="Times New Roman" w:cs="Times New Roman"/>
          <w:b/>
          <w:sz w:val="24"/>
          <w:szCs w:val="24"/>
        </w:rPr>
      </w:pPr>
    </w:p>
    <w:p w14:paraId="3874ACEE" w14:textId="2C40106C" w:rsidR="001E37DF" w:rsidRPr="00DD50FA" w:rsidRDefault="001E37DF" w:rsidP="001E37DF">
      <w:pPr>
        <w:spacing w:after="0" w:line="240" w:lineRule="auto"/>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KOORDINACIJA AKTIVNOSTI VEZANIH UZ VREDNOVANJE SREDNJOROČNIH STRATEŠKIH DOKUMENATA JLP(R)S-a</w:t>
      </w:r>
    </w:p>
    <w:p w14:paraId="6F1AEB8B" w14:textId="77777777" w:rsidR="001E37DF" w:rsidRPr="00DD50FA" w:rsidRDefault="001E37DF" w:rsidP="001E37DF">
      <w:pPr>
        <w:spacing w:after="0" w:line="240" w:lineRule="auto"/>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Aktivnosti Razvojne agencije PORE KKŽ kao regionalnog koordinatora vezano uz vrednovanje srednjoročnih strateških dokumenata bile su sljedeće:</w:t>
      </w:r>
    </w:p>
    <w:p w14:paraId="76CB1F77" w14:textId="77777777" w:rsidR="001E37DF" w:rsidRPr="00DD50FA" w:rsidRDefault="001E37DF" w:rsidP="001E37DF">
      <w:pPr>
        <w:pStyle w:val="ListParagraph"/>
        <w:numPr>
          <w:ilvl w:val="0"/>
          <w:numId w:val="1"/>
        </w:numPr>
        <w:spacing w:after="0" w:line="240" w:lineRule="auto"/>
        <w:ind w:left="709" w:hanging="283"/>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koordinacija izrade Plana vrednovanja Plana razvoja KKŽ 2021.-2027. za 2025. godinu i dostava ovjerenog Plana vrednovanja u MRRFEU, prikupljanje očitovanja JLS-a o provedbi postupka vrednovanja srednjoročnih strateških dokumenata u 2025. godini i dostava objedinjene obavijesti u MRRFEU.</w:t>
      </w:r>
    </w:p>
    <w:p w14:paraId="37F7DFC5" w14:textId="77777777" w:rsidR="00191B90" w:rsidRDefault="00191B90" w:rsidP="001E37DF">
      <w:pPr>
        <w:spacing w:line="240" w:lineRule="auto"/>
        <w:contextualSpacing/>
        <w:jc w:val="both"/>
        <w:rPr>
          <w:rFonts w:ascii="Times New Roman" w:eastAsia="Calibri" w:hAnsi="Times New Roman" w:cs="Times New Roman"/>
          <w:b/>
          <w:sz w:val="24"/>
          <w:szCs w:val="24"/>
        </w:rPr>
      </w:pPr>
    </w:p>
    <w:p w14:paraId="69830EB1" w14:textId="3BCCB992" w:rsidR="001E37DF" w:rsidRPr="00DD50FA" w:rsidRDefault="001E37DF" w:rsidP="001E37DF">
      <w:pPr>
        <w:spacing w:line="240" w:lineRule="auto"/>
        <w:contextualSpacing/>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lastRenderedPageBreak/>
        <w:t>SUDJELOVANJE U IZRADI IZVJEŠĆA O PROVEDBI NACIONALNOG PLANA IZJEDNAČAVANJA MOGUĆNOSTI ZA OSOBE S INVALIDITETOM ZA RAZDOBLJE OD 2021. DO 2027. GODINE</w:t>
      </w:r>
    </w:p>
    <w:p w14:paraId="63D77CE2" w14:textId="77777777" w:rsidR="001E37DF" w:rsidRPr="00DD50FA" w:rsidRDefault="001E37DF" w:rsidP="001E37DF">
      <w:pPr>
        <w:spacing w:after="0" w:line="240" w:lineRule="auto"/>
        <w:contextualSpacing/>
        <w:jc w:val="both"/>
        <w:rPr>
          <w:rFonts w:ascii="Times New Roman" w:eastAsia="Calibri" w:hAnsi="Times New Roman" w:cs="Times New Roman"/>
          <w:bCs/>
          <w:sz w:val="24"/>
          <w:szCs w:val="24"/>
        </w:rPr>
      </w:pPr>
      <w:r w:rsidRPr="00DD50FA">
        <w:rPr>
          <w:rFonts w:ascii="Times New Roman" w:eastAsia="Calibri" w:hAnsi="Times New Roman" w:cs="Times New Roman"/>
          <w:bCs/>
          <w:sz w:val="24"/>
          <w:szCs w:val="24"/>
        </w:rPr>
        <w:t>Razvojna agencija PORA KKŽ sudjelovala je u izradi Izvješća o provedbi Nacionalnog plana izjednačavanja mogućnosti za osobe s invaliditetom za razdoblje od 2021. do 2027. godine.</w:t>
      </w:r>
      <w:bookmarkEnd w:id="6"/>
    </w:p>
    <w:p w14:paraId="5CDEC91C" w14:textId="77777777" w:rsidR="001E37DF" w:rsidRPr="00DD50FA" w:rsidRDefault="001E37DF" w:rsidP="001E37DF">
      <w:pPr>
        <w:spacing w:after="0" w:line="240" w:lineRule="auto"/>
        <w:contextualSpacing/>
        <w:jc w:val="both"/>
        <w:rPr>
          <w:rFonts w:ascii="Times New Roman" w:eastAsia="Calibri" w:hAnsi="Times New Roman" w:cs="Times New Roman"/>
          <w:bCs/>
          <w:sz w:val="24"/>
          <w:szCs w:val="24"/>
        </w:rPr>
      </w:pPr>
    </w:p>
    <w:p w14:paraId="69D61D4C" w14:textId="77777777" w:rsidR="001E37DF" w:rsidRPr="00DD50FA" w:rsidRDefault="001E37DF" w:rsidP="001E37DF">
      <w:pPr>
        <w:pStyle w:val="ListParagraph"/>
        <w:numPr>
          <w:ilvl w:val="3"/>
          <w:numId w:val="15"/>
        </w:numPr>
        <w:spacing w:after="0"/>
        <w:jc w:val="both"/>
        <w:rPr>
          <w:rFonts w:ascii="Times New Roman" w:hAnsi="Times New Roman" w:cs="Times New Roman"/>
          <w:b/>
          <w:bCs/>
          <w:sz w:val="24"/>
          <w:szCs w:val="24"/>
        </w:rPr>
      </w:pPr>
      <w:r w:rsidRPr="00DD50FA">
        <w:rPr>
          <w:rFonts w:ascii="Times New Roman" w:hAnsi="Times New Roman" w:cs="Times New Roman"/>
          <w:b/>
          <w:bCs/>
          <w:sz w:val="24"/>
          <w:szCs w:val="24"/>
        </w:rPr>
        <w:t xml:space="preserve"> POTICANJE PODUZETNIŠTVA</w:t>
      </w:r>
    </w:p>
    <w:p w14:paraId="5ECFF54C" w14:textId="608BB70E" w:rsidR="001E37DF" w:rsidRPr="00DD50FA" w:rsidRDefault="001E37DF" w:rsidP="001E37DF">
      <w:pPr>
        <w:pStyle w:val="ListParagraph"/>
        <w:spacing w:after="0" w:line="240" w:lineRule="auto"/>
        <w:ind w:left="0"/>
        <w:jc w:val="both"/>
        <w:rPr>
          <w:rFonts w:ascii="Times New Roman" w:hAnsi="Times New Roman" w:cs="Times New Roman"/>
          <w:b/>
          <w:bCs/>
          <w:sz w:val="24"/>
          <w:szCs w:val="24"/>
        </w:rPr>
      </w:pPr>
      <w:r w:rsidRPr="00DD50FA">
        <w:rPr>
          <w:rFonts w:ascii="Times New Roman" w:hAnsi="Times New Roman" w:cs="Times New Roman"/>
          <w:b/>
          <w:bCs/>
          <w:sz w:val="24"/>
          <w:szCs w:val="24"/>
        </w:rPr>
        <w:t>INFORMIRANJE PODUZETNIKA I ORGANIZACIJA SEMINARA ZA PODUZETNIKE</w:t>
      </w:r>
    </w:p>
    <w:p w14:paraId="6B0249E9" w14:textId="77777777" w:rsidR="001E37DF" w:rsidRPr="00DD50FA" w:rsidRDefault="001E37DF" w:rsidP="001E37DF">
      <w:p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Razvojna agencija PORA KKŽ je provodila informiranje poduzetnika i to pisanim putem kroz </w:t>
      </w:r>
      <w:r w:rsidRPr="00DD50FA">
        <w:rPr>
          <w:rFonts w:ascii="Times New Roman" w:eastAsia="Times New Roman" w:hAnsi="Times New Roman" w:cs="Times New Roman"/>
          <w:sz w:val="24"/>
          <w:szCs w:val="24"/>
        </w:rPr>
        <w:t>2396</w:t>
      </w:r>
      <w:r w:rsidRPr="00DD50FA">
        <w:rPr>
          <w:rFonts w:ascii="Times New Roman" w:hAnsi="Times New Roman" w:cs="Times New Roman"/>
          <w:sz w:val="24"/>
          <w:szCs w:val="24"/>
        </w:rPr>
        <w:t xml:space="preserve"> informiranja o aktualnim natječajima za bespovratna financijska sredstva, kao i kreditnim linijama. </w:t>
      </w:r>
    </w:p>
    <w:p w14:paraId="51DA5FA9" w14:textId="6AFA8E4B" w:rsidR="001E37DF" w:rsidRPr="00DD50FA" w:rsidRDefault="001E37DF" w:rsidP="001E37DF">
      <w:pPr>
        <w:spacing w:after="0" w:line="240" w:lineRule="auto"/>
        <w:jc w:val="both"/>
        <w:rPr>
          <w:rFonts w:ascii="Times New Roman" w:hAnsi="Times New Roman" w:cs="Times New Roman"/>
          <w:b/>
          <w:bCs/>
          <w:sz w:val="24"/>
          <w:szCs w:val="24"/>
        </w:rPr>
      </w:pPr>
      <w:r w:rsidRPr="00DD50FA">
        <w:rPr>
          <w:rFonts w:ascii="Times New Roman" w:hAnsi="Times New Roman" w:cs="Times New Roman"/>
          <w:b/>
          <w:bCs/>
          <w:sz w:val="24"/>
          <w:szCs w:val="24"/>
        </w:rPr>
        <w:t>PROVEDBA PILOT PROJEKTA ZA TEHNIČKU PODRŠKU ZA ISKORIŠTAVANJE TALENATA U REGIJI</w:t>
      </w:r>
    </w:p>
    <w:p w14:paraId="4194C583" w14:textId="77777777" w:rsidR="001E37DF" w:rsidRPr="00DD50FA" w:rsidRDefault="001E37DF" w:rsidP="001E37DF">
      <w:p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Na inicijativu MRRFEU, Razvojna agencija PORA KKŽ kao dio regije Sjeverna Hrvatska sudjeluje u provedbi pilot projekta za iskorištavanje talenata u regiji. Glavni korisnik je MRRFEU kao predstavnik tri regije: HR02 (Panonske Hrvatske), HR05 (Grada Zagreba) i HR06 (Sjeverne Hrvatske). Svrha ovog pilot projekta je regionalnim i lokalnim tijelima pružiti tehničku podršku u razvoju okvira za strateško razmišljanje i djelovanje radi rješavanja neiskorištenog potencijala visokoobrazovane radne snage i ublažavanja izazova povezanih s demografskim promjenama i odljevom mozgova, podupiranjem utvrđivanja potreba i prioriteta te pružanjem savjeta i metodološke potpore. Naglasak pilot projekta je na zadržavanju postojećih, ali i razvoju te privlačenju novih talenata, kao i na promicanju suradnje među županijama te funkcionalnoj integraciji pri razvoju mjera i načina njihove provedbe. Tijekom 2024. Razvojna agencija PORA KKŽ sudjelovala je na bilateralnom kick-off sastanku </w:t>
      </w:r>
      <w:r w:rsidRPr="00DD50FA">
        <w:rPr>
          <w:rFonts w:ascii="Times New Roman" w:hAnsi="Times New Roman" w:cs="Times New Roman"/>
          <w:color w:val="000000"/>
          <w:sz w:val="24"/>
          <w:szCs w:val="24"/>
        </w:rPr>
        <w:t xml:space="preserve">i popunjavanju upitnika o potrebama i izazovima regije Kontinentalna Hrvatska, zatim </w:t>
      </w:r>
      <w:r w:rsidRPr="00DD50FA">
        <w:rPr>
          <w:rFonts w:ascii="Times New Roman" w:hAnsi="Times New Roman" w:cs="Times New Roman"/>
          <w:sz w:val="24"/>
          <w:szCs w:val="24"/>
        </w:rPr>
        <w:t>u pripremi komentara za dijagnostičko izvješće te je prisustvovala i završnom sastanku.</w:t>
      </w:r>
    </w:p>
    <w:p w14:paraId="036A1ABF" w14:textId="2931B6E7" w:rsidR="001E37DF" w:rsidRPr="00DD50FA" w:rsidRDefault="001E37DF" w:rsidP="001E37DF">
      <w:pPr>
        <w:spacing w:after="0" w:line="240" w:lineRule="auto"/>
        <w:jc w:val="both"/>
        <w:rPr>
          <w:rFonts w:ascii="Times New Roman" w:eastAsia="Calibri" w:hAnsi="Times New Roman" w:cs="Times New Roman"/>
          <w:b/>
          <w:sz w:val="24"/>
          <w:szCs w:val="24"/>
        </w:rPr>
      </w:pPr>
      <w:r w:rsidRPr="00DD50FA">
        <w:rPr>
          <w:rFonts w:ascii="Times New Roman" w:eastAsia="Calibri" w:hAnsi="Times New Roman" w:cs="Times New Roman"/>
          <w:b/>
          <w:sz w:val="24"/>
          <w:szCs w:val="24"/>
        </w:rPr>
        <w:t>SUDJELOVANJE U PROCESU INDUSTRIJSKE TRANZICIJE SJEVERNE HRVATSKE</w:t>
      </w:r>
    </w:p>
    <w:p w14:paraId="1890B0EF" w14:textId="77777777" w:rsidR="001E37DF" w:rsidRPr="00DD50FA" w:rsidRDefault="001E37DF" w:rsidP="001E37DF">
      <w:pPr>
        <w:spacing w:after="0" w:line="240" w:lineRule="auto"/>
        <w:jc w:val="both"/>
        <w:rPr>
          <w:rFonts w:ascii="Times New Roman" w:eastAsia="Calibri" w:hAnsi="Times New Roman" w:cs="Times New Roman"/>
          <w:bCs/>
          <w:color w:val="000000" w:themeColor="text1"/>
          <w:sz w:val="24"/>
          <w:szCs w:val="24"/>
        </w:rPr>
      </w:pPr>
      <w:r w:rsidRPr="00DD50FA">
        <w:rPr>
          <w:rFonts w:ascii="Times New Roman" w:eastAsia="Calibri" w:hAnsi="Times New Roman" w:cs="Times New Roman"/>
          <w:bCs/>
          <w:color w:val="000000" w:themeColor="text1"/>
          <w:sz w:val="24"/>
          <w:szCs w:val="24"/>
        </w:rPr>
        <w:t xml:space="preserve">Razvojna agencija PORA KKŽ kao regionalni koordinator za KKŽ dio je tima koji je sudjelovao u izradi Plana za industrijsku tranziciju Sjeverne Hrvatske za razdoblje od 2021. od 2027. godine kojim koordinira MRRFEU. Navedeni Plan predstavlja strateški okvir za definiranje aktivnosti industrijske tranzicije prioritetnih sektora na području RH, na razini NUTS 2 podjele i podlogu za raspisivanje Poziva na dostavu projektnih prijedloga, koje će biti financirane iz fondova EU u okviru Programa ITP 2021.-2027. Prioritetni sektori, odnosno definirani regionalni lanci vrijednosti (RLV) unutar Plana za industrijsku tranziciju Sjeverne Hrvatske su: RLV pametne industrije, RLV industrije vozila, RLV zdravstvene industrije, RLV zelenog rasta i RLV uslužnog sektora visoke dodane vrijednosti. </w:t>
      </w:r>
    </w:p>
    <w:p w14:paraId="01E0865D" w14:textId="77777777" w:rsidR="001E37DF" w:rsidRPr="00DD50FA" w:rsidRDefault="001E37DF" w:rsidP="001E37DF">
      <w:p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U prosincu 2023. objavljen je prvi Poziv na dostavu projektnih prijedloga „Jačanje strateških partnerstva za inovacije u procesu industrijske tranzicije“ koji je zatvoren 13. lipnja 2024., a za cilj je imao razvoj novih proizvoda i usluga u nišama više dodane vrijednosti, odnosno poduzetnicima omogućiti diversifikaciju poslovanja i razvoj novih proizvoda u okviru prioritetnih niša regionalnih lanaca vrijednosti Jadranske, Panonske ili Sjeverne Hrvatske te potaknuti rješavanje ključnih društvenih izazova tih regija. Razvojna agencija PORA KKŽ obavijestila je potencijalne korisnike na području KKŽ o otvorenom Pozivu i aktivno je informirala zainteresirane poduzetnike o glavnim značajkama Poziva i pružala pomoć u traženju projektnih partnera. Osim informiranja Razvojna agencija PORA KKŽ održala je u siječnju 2024. radni sastanak s poduzetničkim potpornim institucijama s područja KKŽ o otvorenom Pozivu te je prezentirala glavne značajke Poziva na „Info danu - poticaji za poduzetništvo“ u ožujku 2024. u čijoj organizaciji je sudjelovala zajedno s HGK Županijskom </w:t>
      </w:r>
      <w:r w:rsidRPr="00DD50FA">
        <w:rPr>
          <w:rFonts w:ascii="Times New Roman" w:hAnsi="Times New Roman" w:cs="Times New Roman"/>
          <w:sz w:val="24"/>
          <w:szCs w:val="24"/>
        </w:rPr>
        <w:lastRenderedPageBreak/>
        <w:t xml:space="preserve">komorom Koprivnica, Koprivničko-križevačkom županijom i HOK Obrtničkom komorom Koprivničko-križevačke županije. </w:t>
      </w:r>
    </w:p>
    <w:p w14:paraId="1D8F407B" w14:textId="77777777" w:rsidR="001E37DF" w:rsidRPr="00DD50FA" w:rsidRDefault="001E37DF" w:rsidP="001E37DF">
      <w:p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Razvojna agencija PORA KKŽ je uz navedene aktivnosti  također sudjelovala i u sljedećim aktivnostima vezanih za proces industrijske tranzicije:</w:t>
      </w:r>
    </w:p>
    <w:p w14:paraId="1BA965FC" w14:textId="77777777" w:rsidR="001E37DF" w:rsidRPr="00DD50FA" w:rsidRDefault="001E37DF" w:rsidP="001E37DF">
      <w:pPr>
        <w:pStyle w:val="ListParagraph"/>
        <w:numPr>
          <w:ilvl w:val="0"/>
          <w:numId w:val="22"/>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u </w:t>
      </w:r>
      <w:r w:rsidRPr="00DD50FA">
        <w:rPr>
          <w:rFonts w:ascii="Times New Roman" w:eastAsia="Calibri" w:hAnsi="Times New Roman" w:cs="Times New Roman"/>
          <w:bCs/>
          <w:sz w:val="24"/>
          <w:szCs w:val="24"/>
        </w:rPr>
        <w:t xml:space="preserve">provedbi </w:t>
      </w:r>
      <w:r w:rsidRPr="00DD50FA">
        <w:rPr>
          <w:rFonts w:ascii="Times New Roman" w:hAnsi="Times New Roman" w:cs="Times New Roman"/>
          <w:sz w:val="24"/>
          <w:szCs w:val="24"/>
        </w:rPr>
        <w:t>validacije društvenih izazova za Koprivničko-križevačku županiju;</w:t>
      </w:r>
    </w:p>
    <w:p w14:paraId="4CBA40F9" w14:textId="77777777" w:rsidR="001E37DF" w:rsidRPr="00DD50FA" w:rsidRDefault="001E37DF" w:rsidP="001E37DF">
      <w:pPr>
        <w:pStyle w:val="ListParagraph"/>
        <w:numPr>
          <w:ilvl w:val="0"/>
          <w:numId w:val="22"/>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na online pripremnoj radionici u svrhu organizacije RLV strateških foruma na kojima će se definirati IRI misije za rješavanje društvenih izazova JH, PH i SH; </w:t>
      </w:r>
    </w:p>
    <w:p w14:paraId="205B74CA" w14:textId="77777777" w:rsidR="001E37DF" w:rsidRPr="00DD50FA" w:rsidRDefault="001E37DF" w:rsidP="001E37DF">
      <w:pPr>
        <w:pStyle w:val="ListParagraph"/>
        <w:numPr>
          <w:ilvl w:val="0"/>
          <w:numId w:val="22"/>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na Strateškom forumu </w:t>
      </w:r>
      <w:r w:rsidRPr="00DD50FA">
        <w:rPr>
          <w:rFonts w:ascii="Times New Roman" w:eastAsia="Calibri" w:hAnsi="Times New Roman" w:cs="Times New Roman"/>
          <w:bCs/>
          <w:sz w:val="24"/>
          <w:szCs w:val="24"/>
        </w:rPr>
        <w:t>RLV Proizvodnja vozila, koji je održan u Zagrebu;</w:t>
      </w:r>
    </w:p>
    <w:p w14:paraId="6F9C252C" w14:textId="77777777" w:rsidR="001E37DF" w:rsidRPr="00DD50FA" w:rsidRDefault="001E37DF" w:rsidP="001E37DF">
      <w:pPr>
        <w:pStyle w:val="ListParagraph"/>
        <w:numPr>
          <w:ilvl w:val="0"/>
          <w:numId w:val="22"/>
        </w:numPr>
        <w:spacing w:after="0" w:line="240" w:lineRule="auto"/>
        <w:jc w:val="both"/>
        <w:rPr>
          <w:rFonts w:ascii="Times New Roman" w:hAnsi="Times New Roman" w:cs="Times New Roman"/>
          <w:sz w:val="24"/>
          <w:szCs w:val="24"/>
        </w:rPr>
      </w:pPr>
      <w:r w:rsidRPr="00DD50FA">
        <w:rPr>
          <w:rFonts w:ascii="Times New Roman" w:eastAsia="Calibri" w:hAnsi="Times New Roman" w:cs="Times New Roman"/>
          <w:bCs/>
          <w:sz w:val="24"/>
          <w:szCs w:val="24"/>
        </w:rPr>
        <w:t xml:space="preserve">u </w:t>
      </w:r>
      <w:r w:rsidRPr="00DD50FA">
        <w:rPr>
          <w:rFonts w:ascii="Times New Roman" w:hAnsi="Times New Roman" w:cs="Times New Roman"/>
          <w:sz w:val="24"/>
          <w:szCs w:val="24"/>
        </w:rPr>
        <w:t>validaciji identificiranih IRI tema u okviru RLV-a Proizvodnja vozila Sjeverne Hrvatske povezanih s IRI misijama koje odgovaraju na specifične društvene izazove.</w:t>
      </w:r>
    </w:p>
    <w:p w14:paraId="544B073D" w14:textId="77777777" w:rsidR="001E37DF" w:rsidRPr="00147A2F" w:rsidRDefault="001E37DF" w:rsidP="00147A2F">
      <w:pPr>
        <w:spacing w:after="0" w:line="240" w:lineRule="auto"/>
        <w:jc w:val="both"/>
        <w:rPr>
          <w:rFonts w:ascii="Times New Roman" w:hAnsi="Times New Roman" w:cs="Times New Roman"/>
          <w:b/>
          <w:bCs/>
          <w:sz w:val="24"/>
          <w:szCs w:val="24"/>
        </w:rPr>
      </w:pPr>
      <w:r w:rsidRPr="00147A2F">
        <w:rPr>
          <w:rFonts w:ascii="Times New Roman" w:hAnsi="Times New Roman" w:cs="Times New Roman"/>
          <w:b/>
          <w:bCs/>
          <w:sz w:val="24"/>
          <w:szCs w:val="24"/>
        </w:rPr>
        <w:t>JAČANJE POZITIVNE INVESTICIJSKE KLIME</w:t>
      </w:r>
    </w:p>
    <w:p w14:paraId="5D618B8C" w14:textId="77777777" w:rsidR="001E37DF" w:rsidRPr="00DD50FA" w:rsidRDefault="001E37DF" w:rsidP="001E37DF">
      <w:pPr>
        <w:pStyle w:val="Default"/>
        <w:jc w:val="both"/>
        <w:rPr>
          <w:rFonts w:ascii="Times New Roman" w:eastAsia="Calibri" w:hAnsi="Times New Roman" w:cs="Times New Roman"/>
          <w:b/>
        </w:rPr>
      </w:pPr>
      <w:bookmarkStart w:id="7" w:name="_Hlk91662793"/>
      <w:r w:rsidRPr="00DD50FA">
        <w:rPr>
          <w:rFonts w:ascii="Times New Roman" w:hAnsi="Times New Roman" w:cs="Times New Roman"/>
          <w:color w:val="000000" w:themeColor="text1"/>
        </w:rPr>
        <w:t xml:space="preserve">Razvojna agencija PORA KKŽ </w:t>
      </w:r>
      <w:r w:rsidRPr="00DD50FA">
        <w:rPr>
          <w:rFonts w:ascii="Times New Roman" w:hAnsi="Times New Roman" w:cs="Times New Roman"/>
          <w:color w:val="auto"/>
        </w:rPr>
        <w:t>u suradnji s Ministarstvom gospodarstva i održivog razvoja</w:t>
      </w:r>
      <w:r w:rsidRPr="00DD50FA">
        <w:rPr>
          <w:rFonts w:ascii="Times New Roman" w:hAnsi="Times New Roman" w:cs="Times New Roman"/>
          <w:b/>
          <w:color w:val="auto"/>
        </w:rPr>
        <w:t xml:space="preserve"> </w:t>
      </w:r>
      <w:bookmarkEnd w:id="7"/>
      <w:r w:rsidRPr="00DD50FA">
        <w:rPr>
          <w:rFonts w:ascii="Times New Roman" w:hAnsi="Times New Roman" w:cs="Times New Roman"/>
          <w:color w:val="000000" w:themeColor="text1"/>
        </w:rPr>
        <w:t xml:space="preserve">kontinuirano radi na jačanju pozitivne investicijske klime i privlačenju potencijalnih investitora, a od 2024. godine </w:t>
      </w:r>
      <w:r w:rsidRPr="00DD50FA">
        <w:rPr>
          <w:rFonts w:ascii="Times New Roman" w:hAnsi="Times New Roman" w:cs="Times New Roman"/>
        </w:rPr>
        <w:t>uključena je u stručnu Radnu skupinu za izradu nacrta Nacionalnog plana za poticanje ulaganja za razdoblje 2024. do 2030. godine i Akcijskog plana za provedbu Nacionalnog plana za poticanje ulaganja za razdoblje od 2024. do 2026. godine od listopada 2023., a do sada je sudjelovala na 3 sastanka stručne radne skupine, info prezentaciji i zaključnom sastanku Radne skupine.</w:t>
      </w:r>
    </w:p>
    <w:p w14:paraId="02335247" w14:textId="77777777" w:rsidR="001E37DF" w:rsidRPr="00DD50FA" w:rsidRDefault="001E37DF" w:rsidP="001E37DF">
      <w:pPr>
        <w:pStyle w:val="Default"/>
        <w:jc w:val="both"/>
        <w:rPr>
          <w:rFonts w:ascii="Times New Roman" w:hAnsi="Times New Roman" w:cs="Times New Roman"/>
        </w:rPr>
      </w:pPr>
      <w:r w:rsidRPr="00DD50FA">
        <w:rPr>
          <w:rFonts w:ascii="Times New Roman" w:hAnsi="Times New Roman" w:cs="Times New Roman"/>
        </w:rPr>
        <w:t>Također, tijekom listopada i studenog 2024. u suradnji s JLS-ima s područja KKŽ provedeno je ažuriranje baze poslovnih zona, o kojima su informacije objavljene na web stranici KKŽ i Razvojne agencije PORE KKŽ.</w:t>
      </w:r>
    </w:p>
    <w:p w14:paraId="05E82E29" w14:textId="24973DDD" w:rsidR="001E37DF" w:rsidRPr="00DD50FA" w:rsidRDefault="001E37DF" w:rsidP="001E37DF">
      <w:pPr>
        <w:spacing w:after="0" w:line="240" w:lineRule="auto"/>
        <w:jc w:val="both"/>
        <w:rPr>
          <w:rFonts w:ascii="Times New Roman" w:hAnsi="Times New Roman" w:cs="Times New Roman"/>
          <w:b/>
          <w:bCs/>
          <w:sz w:val="24"/>
          <w:szCs w:val="24"/>
        </w:rPr>
      </w:pPr>
      <w:r w:rsidRPr="00DD50FA">
        <w:rPr>
          <w:rFonts w:ascii="Times New Roman" w:hAnsi="Times New Roman" w:cs="Times New Roman"/>
          <w:b/>
          <w:bCs/>
          <w:sz w:val="24"/>
          <w:szCs w:val="24"/>
        </w:rPr>
        <w:t>MEĐUNARODNA KONFERENCIJA NA TEMU „IZAZOVI I PRILIKE ZA RAZVOJ RURALNIH PODRUČJA“ U OKVIRU PROVEDBE AKTIVNOSTI NACIONALNE MREŽE ZAJEDNIČKE POLJOPRIVREDNE POLITIKE KROZ MJERU TEHNIČKE POMOĆI – PODMJERA 20.2. „PODRŠKA ZA OSNIVANJE I UPRAVLJANJE NACIONALNOM RURALNOM MREŽOM</w:t>
      </w:r>
    </w:p>
    <w:p w14:paraId="373F8F7F" w14:textId="77777777" w:rsidR="001E37DF" w:rsidRPr="00DD50FA" w:rsidRDefault="001E37DF" w:rsidP="001E37DF">
      <w:pPr>
        <w:spacing w:after="0" w:line="240" w:lineRule="auto"/>
        <w:jc w:val="both"/>
        <w:rPr>
          <w:rFonts w:ascii="Times New Roman" w:hAnsi="Times New Roman" w:cs="Times New Roman"/>
          <w:sz w:val="24"/>
          <w:szCs w:val="24"/>
          <w:shd w:val="clear" w:color="auto" w:fill="FFFFFF"/>
        </w:rPr>
      </w:pPr>
      <w:r w:rsidRPr="00DD50FA">
        <w:rPr>
          <w:rFonts w:ascii="Times New Roman" w:hAnsi="Times New Roman" w:cs="Times New Roman"/>
          <w:sz w:val="24"/>
          <w:szCs w:val="24"/>
        </w:rPr>
        <w:t xml:space="preserve">Razvojna agencija PORA KKŽ je u suradnji s partnerima, odnosno članovima Nacionalne ruralne mreže s područja KKŽ u 2023. godini kandidirala na otvoreni Poziv za podnošenje prijedloga aktivnosti Nacionalne mreže Zajedničke poljoprivredne politike za 2023. godinu održavanje međunarodne konferencije u hibridnim obliku u iznosu od 4.455,00 EUR na temu „Izazovi i prilike za razvoj ruralnih područja“. Ista je i odobrena za sufinanciranje u siječnju 2024. Međunarodna konferencija održana je 22. veljače 2024. u prostorima Ratarne na Veleučilištu u Križevima, a okupila je više od 130 sudionika, predstavnika Europske komisije, Ministarstva poljoprivrede, Koprivničko-križevačke županije, gradova, općina, sveučilišta, veleučilišta, LAG-ova, OPG-ova, obrta i tvrtki. Konferencija se sastojala od nekoliko prezentacija na teme vezane uz strateški plan Zajedničke poljoprivredne politike za razdoblje od 2023. do 2027. godine i digitalizaciju poljoprivrede, te su održana i 4 panela na temu stvaranja </w:t>
      </w:r>
      <w:r w:rsidRPr="00DD50FA">
        <w:rPr>
          <w:rFonts w:ascii="Times New Roman" w:hAnsi="Times New Roman" w:cs="Times New Roman"/>
          <w:sz w:val="24"/>
          <w:szCs w:val="24"/>
          <w:shd w:val="clear" w:color="auto" w:fill="FFFFFF"/>
        </w:rPr>
        <w:t xml:space="preserve">koncepta „Pametnih sela“. </w:t>
      </w:r>
    </w:p>
    <w:p w14:paraId="1C70D93D" w14:textId="592D1CA1" w:rsidR="001E37DF" w:rsidRPr="00DD50FA" w:rsidRDefault="001E37DF" w:rsidP="001E37DF">
      <w:pPr>
        <w:spacing w:after="0" w:line="240" w:lineRule="auto"/>
        <w:jc w:val="both"/>
        <w:rPr>
          <w:rFonts w:ascii="Times New Roman" w:hAnsi="Times New Roman" w:cs="Times New Roman"/>
          <w:b/>
          <w:bCs/>
          <w:sz w:val="24"/>
          <w:szCs w:val="24"/>
          <w:shd w:val="clear" w:color="auto" w:fill="FFFFFF"/>
        </w:rPr>
      </w:pPr>
      <w:r w:rsidRPr="00DD50FA">
        <w:rPr>
          <w:rFonts w:ascii="Times New Roman" w:hAnsi="Times New Roman" w:cs="Times New Roman"/>
          <w:b/>
          <w:bCs/>
          <w:sz w:val="24"/>
          <w:szCs w:val="24"/>
          <w:shd w:val="clear" w:color="auto" w:fill="FFFFFF"/>
        </w:rPr>
        <w:t>POTICANJE RAZVOJA PODUZETNIŠTVA U OKVIRU PRIPREME NOVIH EU PROJEKATA</w:t>
      </w:r>
    </w:p>
    <w:p w14:paraId="304AC91C" w14:textId="689A96BD" w:rsidR="001E37DF" w:rsidRPr="00DD50FA" w:rsidRDefault="001E37DF" w:rsidP="001E37DF">
      <w:pPr>
        <w:spacing w:after="0" w:line="240" w:lineRule="auto"/>
        <w:jc w:val="both"/>
        <w:rPr>
          <w:rFonts w:ascii="Times New Roman" w:eastAsia="Calibri" w:hAnsi="Times New Roman" w:cs="Times New Roman"/>
          <w:b/>
          <w:bCs/>
          <w:i/>
          <w:iCs/>
          <w:sz w:val="24"/>
          <w:szCs w:val="24"/>
        </w:rPr>
      </w:pPr>
      <w:r w:rsidRPr="00DD50FA">
        <w:rPr>
          <w:rFonts w:ascii="Times New Roman" w:hAnsi="Times New Roman" w:cs="Times New Roman"/>
          <w:sz w:val="24"/>
          <w:szCs w:val="24"/>
          <w:shd w:val="clear" w:color="auto" w:fill="FFFFFF"/>
        </w:rPr>
        <w:t xml:space="preserve">Razvojna agencija PORA KKŽ sudjelovala je kao projektni partner u pripremi 5 projekata iz područja poticanja poduzetništva i gospodarstva koji su prijavljeni na pozive u okviru Interreg programa, sveukupne vrijednosti 7,4 milijuna EUR. To su projekti „YSCP-Young, Skilled </w:t>
      </w:r>
      <w:r w:rsidR="00DE3F3B">
        <w:rPr>
          <w:rFonts w:ascii="Times New Roman" w:hAnsi="Times New Roman" w:cs="Times New Roman"/>
          <w:sz w:val="24"/>
          <w:szCs w:val="24"/>
          <w:shd w:val="clear" w:color="auto" w:fill="FFFFFF"/>
        </w:rPr>
        <w:t>a</w:t>
      </w:r>
      <w:r w:rsidRPr="00DD50FA">
        <w:rPr>
          <w:rFonts w:ascii="Times New Roman" w:hAnsi="Times New Roman" w:cs="Times New Roman"/>
          <w:sz w:val="24"/>
          <w:szCs w:val="24"/>
          <w:shd w:val="clear" w:color="auto" w:fill="FFFFFF"/>
        </w:rPr>
        <w:t xml:space="preserve">nd Circular Project“, „Rural_Treasure-Time </w:t>
      </w:r>
      <w:r w:rsidR="00DE3F3B">
        <w:rPr>
          <w:rFonts w:ascii="Times New Roman" w:hAnsi="Times New Roman" w:cs="Times New Roman"/>
          <w:sz w:val="24"/>
          <w:szCs w:val="24"/>
          <w:shd w:val="clear" w:color="auto" w:fill="FFFFFF"/>
        </w:rPr>
        <w:t>t</w:t>
      </w:r>
      <w:r w:rsidRPr="00DD50FA">
        <w:rPr>
          <w:rFonts w:ascii="Times New Roman" w:hAnsi="Times New Roman" w:cs="Times New Roman"/>
          <w:sz w:val="24"/>
          <w:szCs w:val="24"/>
          <w:shd w:val="clear" w:color="auto" w:fill="FFFFFF"/>
        </w:rPr>
        <w:t xml:space="preserve">o Take a Measure, </w:t>
      </w:r>
      <w:r w:rsidR="00DE3F3B">
        <w:rPr>
          <w:rFonts w:ascii="Times New Roman" w:hAnsi="Times New Roman" w:cs="Times New Roman"/>
          <w:sz w:val="24"/>
          <w:szCs w:val="24"/>
          <w:shd w:val="clear" w:color="auto" w:fill="FFFFFF"/>
        </w:rPr>
        <w:t>t</w:t>
      </w:r>
      <w:r w:rsidRPr="00DD50FA">
        <w:rPr>
          <w:rFonts w:ascii="Times New Roman" w:hAnsi="Times New Roman" w:cs="Times New Roman"/>
          <w:sz w:val="24"/>
          <w:szCs w:val="24"/>
          <w:shd w:val="clear" w:color="auto" w:fill="FFFFFF"/>
        </w:rPr>
        <w:t xml:space="preserve">o Preserve </w:t>
      </w:r>
      <w:r w:rsidR="00DE3F3B">
        <w:rPr>
          <w:rFonts w:ascii="Times New Roman" w:hAnsi="Times New Roman" w:cs="Times New Roman"/>
          <w:sz w:val="24"/>
          <w:szCs w:val="24"/>
          <w:shd w:val="clear" w:color="auto" w:fill="FFFFFF"/>
        </w:rPr>
        <w:t>t</w:t>
      </w:r>
      <w:r w:rsidRPr="00DD50FA">
        <w:rPr>
          <w:rFonts w:ascii="Times New Roman" w:hAnsi="Times New Roman" w:cs="Times New Roman"/>
          <w:sz w:val="24"/>
          <w:szCs w:val="24"/>
          <w:shd w:val="clear" w:color="auto" w:fill="FFFFFF"/>
        </w:rPr>
        <w:t xml:space="preserve">he Rural Treasure“, „DANAMI - Microplastics Alert </w:t>
      </w:r>
      <w:r w:rsidR="00DE3F3B">
        <w:rPr>
          <w:rFonts w:ascii="Times New Roman" w:hAnsi="Times New Roman" w:cs="Times New Roman"/>
          <w:sz w:val="24"/>
          <w:szCs w:val="24"/>
          <w:shd w:val="clear" w:color="auto" w:fill="FFFFFF"/>
        </w:rPr>
        <w:t>a</w:t>
      </w:r>
      <w:r w:rsidRPr="00DD50FA">
        <w:rPr>
          <w:rFonts w:ascii="Times New Roman" w:hAnsi="Times New Roman" w:cs="Times New Roman"/>
          <w:sz w:val="24"/>
          <w:szCs w:val="24"/>
          <w:shd w:val="clear" w:color="auto" w:fill="FFFFFF"/>
        </w:rPr>
        <w:t>nd Mitigation Initiative“, „</w:t>
      </w:r>
      <w:r w:rsidRPr="00DD50FA">
        <w:rPr>
          <w:rFonts w:ascii="Times New Roman" w:hAnsi="Times New Roman" w:cs="Times New Roman"/>
          <w:sz w:val="24"/>
          <w:szCs w:val="24"/>
        </w:rPr>
        <w:t xml:space="preserve">REVI - Social </w:t>
      </w:r>
      <w:r w:rsidR="00DE3F3B">
        <w:rPr>
          <w:rFonts w:ascii="Times New Roman" w:hAnsi="Times New Roman" w:cs="Times New Roman"/>
          <w:sz w:val="24"/>
          <w:szCs w:val="24"/>
        </w:rPr>
        <w:t>a</w:t>
      </w:r>
      <w:r w:rsidRPr="00DD50FA">
        <w:rPr>
          <w:rFonts w:ascii="Times New Roman" w:hAnsi="Times New Roman" w:cs="Times New Roman"/>
          <w:sz w:val="24"/>
          <w:szCs w:val="24"/>
        </w:rPr>
        <w:t xml:space="preserve">nd Sustainable Economic Revitalization </w:t>
      </w:r>
      <w:r w:rsidR="00DE3F3B">
        <w:rPr>
          <w:rFonts w:ascii="Times New Roman" w:hAnsi="Times New Roman" w:cs="Times New Roman"/>
          <w:sz w:val="24"/>
          <w:szCs w:val="24"/>
        </w:rPr>
        <w:t>o</w:t>
      </w:r>
      <w:r w:rsidRPr="00DD50FA">
        <w:rPr>
          <w:rFonts w:ascii="Times New Roman" w:hAnsi="Times New Roman" w:cs="Times New Roman"/>
          <w:sz w:val="24"/>
          <w:szCs w:val="24"/>
        </w:rPr>
        <w:t xml:space="preserve">f Abandoned Industrial Sites“ i „ECWS-SIT - Empowering Central Europe’s Workforce </w:t>
      </w:r>
      <w:r w:rsidR="00DE3F3B">
        <w:rPr>
          <w:rFonts w:ascii="Times New Roman" w:hAnsi="Times New Roman" w:cs="Times New Roman"/>
          <w:sz w:val="24"/>
          <w:szCs w:val="24"/>
        </w:rPr>
        <w:t>f</w:t>
      </w:r>
      <w:r w:rsidRPr="00DD50FA">
        <w:rPr>
          <w:rFonts w:ascii="Times New Roman" w:hAnsi="Times New Roman" w:cs="Times New Roman"/>
          <w:sz w:val="24"/>
          <w:szCs w:val="24"/>
        </w:rPr>
        <w:t xml:space="preserve">or Smart Specialisation </w:t>
      </w:r>
      <w:r w:rsidR="00DE3F3B">
        <w:rPr>
          <w:rFonts w:ascii="Times New Roman" w:hAnsi="Times New Roman" w:cs="Times New Roman"/>
          <w:sz w:val="24"/>
          <w:szCs w:val="24"/>
        </w:rPr>
        <w:t>a</w:t>
      </w:r>
      <w:r w:rsidRPr="00DD50FA">
        <w:rPr>
          <w:rFonts w:ascii="Times New Roman" w:hAnsi="Times New Roman" w:cs="Times New Roman"/>
          <w:sz w:val="24"/>
          <w:szCs w:val="24"/>
        </w:rPr>
        <w:t xml:space="preserve">nd Industrial Transition“. </w:t>
      </w:r>
      <w:r w:rsidRPr="00DD50FA">
        <w:rPr>
          <w:rFonts w:ascii="Times New Roman" w:hAnsi="Times New Roman" w:cs="Times New Roman"/>
          <w:i/>
          <w:iCs/>
          <w:sz w:val="24"/>
          <w:szCs w:val="24"/>
        </w:rPr>
        <w:t xml:space="preserve">(vidi Tablicu </w:t>
      </w:r>
      <w:r w:rsidRPr="00DD50FA">
        <w:rPr>
          <w:rFonts w:ascii="Times New Roman" w:eastAsia="Calibri" w:hAnsi="Times New Roman" w:cs="Times New Roman"/>
          <w:i/>
          <w:iCs/>
          <w:sz w:val="24"/>
          <w:szCs w:val="24"/>
        </w:rPr>
        <w:t xml:space="preserve">3.2.2.1. Popis projekata sufinanciranih iz EU fondova u kojima je Razvojna agencija PORA KKŽ pružala stručnu pomoć </w:t>
      </w:r>
      <w:r w:rsidRPr="00DD50FA">
        <w:rPr>
          <w:rFonts w:ascii="Times New Roman" w:eastAsia="Calibri" w:hAnsi="Times New Roman" w:cs="Times New Roman"/>
          <w:i/>
          <w:iCs/>
          <w:sz w:val="24"/>
          <w:szCs w:val="24"/>
          <w:u w:val="single"/>
        </w:rPr>
        <w:t>u pripremi</w:t>
      </w:r>
      <w:r w:rsidRPr="00DD50FA">
        <w:rPr>
          <w:rFonts w:ascii="Times New Roman" w:eastAsia="Calibri" w:hAnsi="Times New Roman" w:cs="Times New Roman"/>
          <w:i/>
          <w:iCs/>
          <w:sz w:val="24"/>
          <w:szCs w:val="24"/>
        </w:rPr>
        <w:t xml:space="preserve"> za javnopravna tijela s područja KKŽ)</w:t>
      </w:r>
    </w:p>
    <w:p w14:paraId="401209BE" w14:textId="32B0220F" w:rsidR="001E37DF" w:rsidRPr="00DD50FA" w:rsidRDefault="001E37DF" w:rsidP="001E37DF">
      <w:pPr>
        <w:spacing w:after="0" w:line="240" w:lineRule="auto"/>
        <w:jc w:val="both"/>
        <w:rPr>
          <w:rFonts w:ascii="Times New Roman" w:hAnsi="Times New Roman" w:cs="Times New Roman"/>
          <w:b/>
          <w:bCs/>
          <w:sz w:val="24"/>
          <w:szCs w:val="24"/>
          <w:shd w:val="clear" w:color="auto" w:fill="FFFFFF"/>
        </w:rPr>
      </w:pPr>
      <w:r w:rsidRPr="00DD50FA">
        <w:rPr>
          <w:rFonts w:ascii="Times New Roman" w:hAnsi="Times New Roman" w:cs="Times New Roman"/>
          <w:b/>
          <w:bCs/>
          <w:sz w:val="24"/>
          <w:szCs w:val="24"/>
          <w:shd w:val="clear" w:color="auto" w:fill="FFFFFF"/>
        </w:rPr>
        <w:lastRenderedPageBreak/>
        <w:t>POTICANJE RAZVOJA PODUZETNIŠTVA U OKVIRU PROVEDBE EU PROJEKATA</w:t>
      </w:r>
    </w:p>
    <w:p w14:paraId="0F0C9E4F" w14:textId="7680EA77" w:rsidR="001E37DF" w:rsidRPr="00DD50FA" w:rsidRDefault="00147A2F" w:rsidP="001E37DF">
      <w:pPr>
        <w:spacing w:after="0" w:line="240" w:lineRule="auto"/>
        <w:ind w:firstLine="709"/>
        <w:jc w:val="both"/>
        <w:rPr>
          <w:rFonts w:ascii="Times New Roman" w:hAnsi="Times New Roman" w:cs="Times New Roman"/>
          <w:b/>
          <w:bCs/>
          <w:sz w:val="24"/>
          <w:szCs w:val="24"/>
          <w:shd w:val="clear" w:color="auto" w:fill="FFFFFF"/>
        </w:rPr>
      </w:pPr>
      <w:r w:rsidRPr="00DD50FA">
        <w:rPr>
          <w:rFonts w:ascii="Times New Roman" w:hAnsi="Times New Roman" w:cs="Times New Roman"/>
          <w:b/>
          <w:bCs/>
          <w:sz w:val="24"/>
          <w:szCs w:val="24"/>
          <w:shd w:val="clear" w:color="auto" w:fill="FFFFFF"/>
        </w:rPr>
        <w:t xml:space="preserve">Projekt </w:t>
      </w:r>
      <w:r w:rsidR="001E37DF" w:rsidRPr="00DD50FA">
        <w:rPr>
          <w:rFonts w:ascii="Times New Roman" w:hAnsi="Times New Roman" w:cs="Times New Roman"/>
          <w:b/>
          <w:bCs/>
          <w:sz w:val="24"/>
          <w:szCs w:val="24"/>
          <w:shd w:val="clear" w:color="auto" w:fill="FFFFFF"/>
        </w:rPr>
        <w:t>„TOURBO“</w:t>
      </w:r>
    </w:p>
    <w:p w14:paraId="1D6084FE" w14:textId="23EA7CF4" w:rsidR="001E37DF" w:rsidRPr="003A0568" w:rsidRDefault="001E37DF" w:rsidP="001E37DF">
      <w:pPr>
        <w:spacing w:after="0" w:line="240" w:lineRule="auto"/>
        <w:jc w:val="both"/>
        <w:rPr>
          <w:rFonts w:ascii="Times New Roman" w:hAnsi="Times New Roman" w:cs="Times New Roman"/>
          <w:sz w:val="24"/>
          <w:szCs w:val="24"/>
          <w:shd w:val="clear" w:color="auto" w:fill="FFFFFF"/>
        </w:rPr>
      </w:pPr>
      <w:r w:rsidRPr="00DD50FA">
        <w:rPr>
          <w:rFonts w:ascii="Times New Roman" w:eastAsia="Calibri" w:hAnsi="Times New Roman" w:cs="Times New Roman"/>
          <w:sz w:val="24"/>
          <w:szCs w:val="24"/>
        </w:rPr>
        <w:t xml:space="preserve">U okviru provedbe projektnih aktivnosti </w:t>
      </w:r>
      <w:r w:rsidR="007C5FFB">
        <w:rPr>
          <w:rFonts w:ascii="Times New Roman" w:eastAsia="Calibri" w:hAnsi="Times New Roman" w:cs="Times New Roman"/>
          <w:sz w:val="24"/>
          <w:szCs w:val="24"/>
        </w:rPr>
        <w:t xml:space="preserve">projekta </w:t>
      </w:r>
      <w:r w:rsidR="003A0568" w:rsidRPr="003A0568">
        <w:rPr>
          <w:rFonts w:ascii="Times New Roman" w:hAnsi="Times New Roman"/>
          <w:sz w:val="24"/>
          <w:szCs w:val="24"/>
        </w:rPr>
        <w:t>„</w:t>
      </w:r>
      <w:r w:rsidR="003A0568" w:rsidRPr="003A0568">
        <w:rPr>
          <w:rFonts w:ascii="Times New Roman" w:hAnsi="Times New Roman" w:cs="Times New Roman"/>
          <w:sz w:val="24"/>
          <w:szCs w:val="24"/>
          <w:shd w:val="clear" w:color="auto" w:fill="FFFFFF"/>
        </w:rPr>
        <w:t>TOURBO – Usmjeravanje mikro, malih i srednjih poduzetnika (MSP-ova) prema digitalnoj i zelenoj tranziciji u turizmu</w:t>
      </w:r>
      <w:r w:rsidR="003A0568">
        <w:rPr>
          <w:rFonts w:ascii="Times New Roman" w:hAnsi="Times New Roman" w:cs="Times New Roman"/>
          <w:sz w:val="24"/>
          <w:szCs w:val="24"/>
          <w:shd w:val="clear" w:color="auto" w:fill="FFFFFF"/>
        </w:rPr>
        <w:t xml:space="preserve">“ </w:t>
      </w:r>
      <w:r w:rsidRPr="00DD50FA">
        <w:rPr>
          <w:rFonts w:ascii="Times New Roman" w:eastAsia="Calibri" w:hAnsi="Times New Roman" w:cs="Times New Roman"/>
          <w:sz w:val="24"/>
          <w:szCs w:val="24"/>
        </w:rPr>
        <w:t xml:space="preserve">Razvojna agencija PORA KKŽ je tijekom 2024. sudjelovala na 9 online sastanaka projektnih partnera i 9 online komunikacijskih sastanaka te je održala i dva sastanka lokalnih dionika. Od 09. do 11. travnja 2024. predstavnici Razvojne agencije PORE KKŽ i lokalnih dionika - Koprivničko-križevačke županije i grada Đurđevca, sudjelovali su na međuregionalnoj radionici i studijskom putu u Laponiji u Finskoj, a od 24. do 25. rujna 2024. predstavnici Razvojne agencije PORE KKŽ sudjelovali su na međuregionalnoj radionici i studijskom putu u talijanskoj regiji Marche s ciljem razmjene iskustava i posjeta primjerima dobrih praksi na temu održivog turizma. </w:t>
      </w:r>
    </w:p>
    <w:p w14:paraId="1ADACC6F" w14:textId="77777777" w:rsidR="001E37DF" w:rsidRPr="00DD50FA" w:rsidRDefault="001E37DF" w:rsidP="001E37DF">
      <w:pPr>
        <w:spacing w:after="0" w:line="240" w:lineRule="auto"/>
        <w:jc w:val="both"/>
        <w:rPr>
          <w:rFonts w:ascii="Times New Roman" w:eastAsia="Calibri" w:hAnsi="Times New Roman" w:cs="Times New Roman"/>
          <w:sz w:val="24"/>
          <w:szCs w:val="24"/>
        </w:rPr>
      </w:pPr>
      <w:r w:rsidRPr="00DD50FA">
        <w:rPr>
          <w:rFonts w:ascii="Times New Roman" w:eastAsia="Calibri" w:hAnsi="Times New Roman" w:cs="Times New Roman"/>
          <w:sz w:val="24"/>
          <w:szCs w:val="24"/>
        </w:rPr>
        <w:t>Razvojna agencija PORA KKŽ informirala je i stručnjake iz Hrvatske koji djeluju na području turizma o Pozivu za iskaz interesa stručnjaka u pružanju inovacijskih usluga MSP-ovima u sektoru turizma, što je dio Pilot akcije koje u projektu provode projektni partneri regija Marche iz Italije i Tvrtka za istraživanje, obrazovanje, inovacije i razvoj regije Sjeverni Egej iz Grčke. Objavljeni Poziv za iskaz interesa imao je za cilj prikupiti listu individualnih, privatnih ili javnih stručnjaka koji imaju potrebna znanja o održivosti, digitalizaciji i energetskoj tranziciji u turizmu i mogu pružiti stručnu pomoć MSP-ovima iz sektora turizma s područja regije Marche iz Italije i regije Sjeverni Egej iz Grčke. Navedeni projektni partneri su krajem 2024. raspisali Poziv za inovativne projekte usmjerene na promicanje zelene i digitalne tranzicije MSP-a koji posluju u sektoru turizma na koji se mogu javiti talijanski i grčki MSP-ovi i odabrati stručnjaka koji će im pružiti stručnu pomoć u pripremi njihovog projektnog prijedloga. Stručnjaci za svaki projekt u kojem pružaju stručnu pomoć MSP-u mogu dobiti do 8.000 EUR.</w:t>
      </w:r>
    </w:p>
    <w:p w14:paraId="56E16EBA" w14:textId="770E4895" w:rsidR="001E37DF" w:rsidRPr="00DD50FA" w:rsidRDefault="00147A2F" w:rsidP="001E37DF">
      <w:pPr>
        <w:spacing w:after="0" w:line="240" w:lineRule="auto"/>
        <w:ind w:firstLine="709"/>
        <w:jc w:val="both"/>
        <w:rPr>
          <w:rFonts w:ascii="Times New Roman" w:eastAsia="Times New Roman" w:hAnsi="Times New Roman" w:cs="Times New Roman"/>
          <w:b/>
          <w:sz w:val="24"/>
          <w:szCs w:val="24"/>
          <w:shd w:val="clear" w:color="auto" w:fill="FFFFFF"/>
        </w:rPr>
      </w:pPr>
      <w:r w:rsidRPr="00DD50FA">
        <w:rPr>
          <w:rFonts w:ascii="Times New Roman" w:eastAsia="Times New Roman" w:hAnsi="Times New Roman" w:cs="Times New Roman"/>
          <w:b/>
          <w:sz w:val="24"/>
          <w:szCs w:val="24"/>
          <w:shd w:val="clear" w:color="auto" w:fill="FFFFFF"/>
        </w:rPr>
        <w:t xml:space="preserve">Projekt </w:t>
      </w:r>
      <w:r w:rsidR="001E37DF" w:rsidRPr="00DD50FA">
        <w:rPr>
          <w:rFonts w:ascii="Times New Roman" w:eastAsia="Times New Roman" w:hAnsi="Times New Roman" w:cs="Times New Roman"/>
          <w:b/>
          <w:sz w:val="24"/>
          <w:szCs w:val="24"/>
          <w:shd w:val="clear" w:color="auto" w:fill="FFFFFF"/>
        </w:rPr>
        <w:t>BFC</w:t>
      </w:r>
    </w:p>
    <w:p w14:paraId="2161BC73" w14:textId="0AC97A38" w:rsidR="001E37DF" w:rsidRPr="00475D74" w:rsidRDefault="007C5FFB" w:rsidP="001E37DF">
      <w:pPr>
        <w:spacing w:after="0" w:line="240" w:lineRule="auto"/>
        <w:jc w:val="both"/>
        <w:rPr>
          <w:rFonts w:ascii="Times New Roman" w:eastAsia="Times New Roman" w:hAnsi="Times New Roman" w:cs="Times New Roman"/>
          <w:bCs/>
          <w:sz w:val="24"/>
          <w:szCs w:val="24"/>
          <w:shd w:val="clear" w:color="auto" w:fill="FFFFFF"/>
        </w:rPr>
      </w:pPr>
      <w:r w:rsidRPr="00475D74">
        <w:rPr>
          <w:rFonts w:ascii="Times New Roman" w:eastAsia="Times New Roman" w:hAnsi="Times New Roman" w:cs="Times New Roman"/>
          <w:bCs/>
          <w:sz w:val="24"/>
          <w:szCs w:val="24"/>
          <w:shd w:val="clear" w:color="auto" w:fill="FFFFFF"/>
        </w:rPr>
        <w:t>U okviru provedbe aktivnosti po projektu</w:t>
      </w:r>
      <w:r w:rsidR="001E37DF" w:rsidRPr="00475D74">
        <w:rPr>
          <w:rFonts w:ascii="Times New Roman" w:eastAsia="Times New Roman" w:hAnsi="Times New Roman" w:cs="Times New Roman"/>
          <w:bCs/>
          <w:sz w:val="24"/>
          <w:szCs w:val="24"/>
          <w:shd w:val="clear" w:color="auto" w:fill="FFFFFF"/>
        </w:rPr>
        <w:t xml:space="preserve"> </w:t>
      </w:r>
      <w:r w:rsidRPr="00475D74">
        <w:rPr>
          <w:rFonts w:ascii="Times New Roman" w:eastAsia="Times New Roman" w:hAnsi="Times New Roman" w:cs="Times New Roman"/>
          <w:bCs/>
          <w:sz w:val="24"/>
          <w:szCs w:val="24"/>
          <w:shd w:val="clear" w:color="auto" w:fill="FFFFFF"/>
        </w:rPr>
        <w:t>„</w:t>
      </w:r>
      <w:r w:rsidR="001E37DF" w:rsidRPr="00475D74">
        <w:rPr>
          <w:rFonts w:ascii="Times New Roman" w:eastAsia="Times New Roman" w:hAnsi="Times New Roman" w:cs="Times New Roman"/>
          <w:bCs/>
          <w:sz w:val="24"/>
          <w:szCs w:val="24"/>
          <w:shd w:val="clear" w:color="auto" w:fill="FFFFFF"/>
        </w:rPr>
        <w:t xml:space="preserve">BFC - </w:t>
      </w:r>
      <w:r w:rsidR="001E37DF" w:rsidRPr="00475D74">
        <w:rPr>
          <w:rFonts w:ascii="Times New Roman" w:hAnsi="Times New Roman" w:cs="Times New Roman"/>
          <w:sz w:val="24"/>
          <w:szCs w:val="24"/>
        </w:rPr>
        <w:t>Biofarms Cluster</w:t>
      </w:r>
      <w:r w:rsidR="00AA180A" w:rsidRPr="00475D74">
        <w:rPr>
          <w:rFonts w:ascii="Times New Roman" w:hAnsi="Times New Roman" w:cs="Times New Roman"/>
          <w:sz w:val="24"/>
          <w:szCs w:val="24"/>
        </w:rPr>
        <w:t>“</w:t>
      </w:r>
      <w:r w:rsidR="001E37DF" w:rsidRPr="00475D74">
        <w:rPr>
          <w:rFonts w:ascii="Times New Roman" w:hAnsi="Times New Roman" w:cs="Times New Roman"/>
          <w:sz w:val="24"/>
          <w:szCs w:val="24"/>
        </w:rPr>
        <w:t xml:space="preserve"> </w:t>
      </w:r>
      <w:r w:rsidR="00AA180A" w:rsidRPr="00475D74">
        <w:rPr>
          <w:rFonts w:ascii="Times New Roman" w:hAnsi="Times New Roman" w:cs="Times New Roman"/>
          <w:sz w:val="24"/>
          <w:szCs w:val="24"/>
        </w:rPr>
        <w:t xml:space="preserve">tijekom 2024. godine </w:t>
      </w:r>
      <w:r w:rsidR="001E37DF" w:rsidRPr="00475D74">
        <w:rPr>
          <w:rFonts w:ascii="Times New Roman" w:eastAsia="Times New Roman" w:hAnsi="Times New Roman" w:cs="Times New Roman"/>
          <w:bCs/>
          <w:sz w:val="24"/>
          <w:szCs w:val="24"/>
          <w:shd w:val="clear" w:color="auto" w:fill="FFFFFF"/>
        </w:rPr>
        <w:t xml:space="preserve"> održana </w:t>
      </w:r>
      <w:r w:rsidR="00AA180A" w:rsidRPr="00475D74">
        <w:rPr>
          <w:rFonts w:ascii="Times New Roman" w:eastAsia="Times New Roman" w:hAnsi="Times New Roman" w:cs="Times New Roman"/>
          <w:bCs/>
          <w:sz w:val="24"/>
          <w:szCs w:val="24"/>
          <w:shd w:val="clear" w:color="auto" w:fill="FFFFFF"/>
        </w:rPr>
        <w:t xml:space="preserve">su </w:t>
      </w:r>
      <w:r w:rsidR="001E37DF" w:rsidRPr="00475D74">
        <w:rPr>
          <w:rFonts w:ascii="Times New Roman" w:eastAsia="Times New Roman" w:hAnsi="Times New Roman" w:cs="Times New Roman"/>
          <w:bCs/>
          <w:sz w:val="24"/>
          <w:szCs w:val="24"/>
          <w:shd w:val="clear" w:color="auto" w:fill="FFFFFF"/>
        </w:rPr>
        <w:t>2 sastanka projektnih partnera.</w:t>
      </w:r>
    </w:p>
    <w:p w14:paraId="3D874A50" w14:textId="42866D65" w:rsidR="001E37DF" w:rsidRPr="00DD50FA" w:rsidRDefault="00147A2F" w:rsidP="001E37DF">
      <w:pPr>
        <w:spacing w:after="0" w:line="240" w:lineRule="auto"/>
        <w:ind w:firstLine="709"/>
        <w:jc w:val="both"/>
        <w:rPr>
          <w:rFonts w:ascii="Times New Roman" w:eastAsia="Calibri" w:hAnsi="Times New Roman" w:cs="Times New Roman"/>
          <w:sz w:val="24"/>
          <w:szCs w:val="24"/>
        </w:rPr>
      </w:pPr>
      <w:r w:rsidRPr="00DD50FA">
        <w:rPr>
          <w:rFonts w:ascii="Times New Roman" w:eastAsia="Times New Roman" w:hAnsi="Times New Roman" w:cs="Times New Roman"/>
          <w:b/>
          <w:sz w:val="24"/>
          <w:szCs w:val="24"/>
          <w:shd w:val="clear" w:color="auto" w:fill="FFFFFF"/>
        </w:rPr>
        <w:t xml:space="preserve">Projekt </w:t>
      </w:r>
      <w:bookmarkStart w:id="8" w:name="_Hlk170574002"/>
      <w:r w:rsidR="001E37DF" w:rsidRPr="00DD50FA">
        <w:rPr>
          <w:rFonts w:ascii="Times New Roman" w:eastAsia="Times New Roman" w:hAnsi="Times New Roman" w:cs="Times New Roman"/>
          <w:b/>
          <w:sz w:val="24"/>
          <w:szCs w:val="24"/>
          <w:shd w:val="clear" w:color="auto" w:fill="FFFFFF"/>
        </w:rPr>
        <w:t xml:space="preserve">DRWO4.0 </w:t>
      </w:r>
      <w:bookmarkEnd w:id="8"/>
    </w:p>
    <w:p w14:paraId="0A3AC44B" w14:textId="52F26FD7" w:rsidR="001E37DF" w:rsidRDefault="00AA180A" w:rsidP="001E37DF">
      <w:pPr>
        <w:spacing w:after="0" w:line="240" w:lineRule="auto"/>
        <w:jc w:val="both"/>
        <w:rPr>
          <w:rFonts w:ascii="Times New Roman" w:eastAsia="Times New Roman" w:hAnsi="Times New Roman" w:cs="Times New Roman"/>
          <w:bCs/>
          <w:sz w:val="24"/>
          <w:szCs w:val="24"/>
          <w:shd w:val="clear" w:color="auto" w:fill="FFFFFF"/>
        </w:rPr>
      </w:pPr>
      <w:r w:rsidRPr="00475D74">
        <w:rPr>
          <w:rFonts w:ascii="Times New Roman" w:eastAsia="Times New Roman" w:hAnsi="Times New Roman" w:cs="Times New Roman"/>
          <w:bCs/>
          <w:sz w:val="24"/>
          <w:szCs w:val="24"/>
          <w:shd w:val="clear" w:color="auto" w:fill="FFFFFF"/>
        </w:rPr>
        <w:t>U okviru projekta „</w:t>
      </w:r>
      <w:r w:rsidR="001E37DF" w:rsidRPr="00475D74">
        <w:rPr>
          <w:rFonts w:ascii="Times New Roman" w:eastAsia="Times New Roman" w:hAnsi="Times New Roman" w:cs="Times New Roman"/>
          <w:bCs/>
          <w:sz w:val="24"/>
          <w:szCs w:val="24"/>
          <w:shd w:val="clear" w:color="auto" w:fill="FFFFFF"/>
        </w:rPr>
        <w:t>DRWO4.0 -  Danube Region Wood Industry Transformation Model towards Industry 4.0</w:t>
      </w:r>
      <w:r w:rsidRPr="00475D74">
        <w:rPr>
          <w:rFonts w:ascii="Times New Roman" w:eastAsia="Times New Roman" w:hAnsi="Times New Roman" w:cs="Times New Roman"/>
          <w:bCs/>
          <w:sz w:val="24"/>
          <w:szCs w:val="24"/>
          <w:shd w:val="clear" w:color="auto" w:fill="FFFFFF"/>
        </w:rPr>
        <w:t xml:space="preserve">“, </w:t>
      </w:r>
      <w:r w:rsidR="001E37DF" w:rsidRPr="00475D74">
        <w:rPr>
          <w:rFonts w:ascii="Times New Roman" w:eastAsia="Times New Roman" w:hAnsi="Times New Roman" w:cs="Times New Roman"/>
          <w:bCs/>
          <w:sz w:val="24"/>
          <w:szCs w:val="24"/>
          <w:shd w:val="clear" w:color="auto" w:fill="FFFFFF"/>
        </w:rPr>
        <w:t xml:space="preserve"> </w:t>
      </w:r>
      <w:r w:rsidR="001E37DF" w:rsidRPr="00DD50FA">
        <w:rPr>
          <w:rFonts w:ascii="Times New Roman" w:eastAsia="Times New Roman" w:hAnsi="Times New Roman" w:cs="Times New Roman"/>
          <w:bCs/>
          <w:sz w:val="24"/>
          <w:szCs w:val="24"/>
          <w:shd w:val="clear" w:color="auto" w:fill="FFFFFF"/>
        </w:rPr>
        <w:t xml:space="preserve">Razvojna agencija PORA KKŽ </w:t>
      </w:r>
      <w:r>
        <w:rPr>
          <w:rFonts w:ascii="Times New Roman" w:eastAsia="Times New Roman" w:hAnsi="Times New Roman" w:cs="Times New Roman"/>
          <w:bCs/>
          <w:sz w:val="24"/>
          <w:szCs w:val="24"/>
          <w:shd w:val="clear" w:color="auto" w:fill="FFFFFF"/>
        </w:rPr>
        <w:t>tijekom 2024. godine</w:t>
      </w:r>
      <w:r w:rsidR="001E37DF" w:rsidRPr="00DD50FA">
        <w:rPr>
          <w:rFonts w:ascii="Times New Roman" w:eastAsia="Times New Roman" w:hAnsi="Times New Roman" w:cs="Times New Roman"/>
          <w:bCs/>
          <w:sz w:val="24"/>
          <w:szCs w:val="24"/>
          <w:shd w:val="clear" w:color="auto" w:fill="FFFFFF"/>
        </w:rPr>
        <w:t xml:space="preserve"> sudjelovala </w:t>
      </w:r>
      <w:r>
        <w:rPr>
          <w:rFonts w:ascii="Times New Roman" w:eastAsia="Times New Roman" w:hAnsi="Times New Roman" w:cs="Times New Roman"/>
          <w:bCs/>
          <w:sz w:val="24"/>
          <w:szCs w:val="24"/>
          <w:shd w:val="clear" w:color="auto" w:fill="FFFFFF"/>
        </w:rPr>
        <w:t xml:space="preserve">je </w:t>
      </w:r>
      <w:r w:rsidR="001E37DF" w:rsidRPr="00DD50FA">
        <w:rPr>
          <w:rFonts w:ascii="Times New Roman" w:eastAsia="Times New Roman" w:hAnsi="Times New Roman" w:cs="Times New Roman"/>
          <w:bCs/>
          <w:sz w:val="24"/>
          <w:szCs w:val="24"/>
          <w:shd w:val="clear" w:color="auto" w:fill="FFFFFF"/>
        </w:rPr>
        <w:t>na početnoj konferenciji on-line putem i na nacionalnoj radionici na temu „Model transformacije drvne industrije dunavske regije prema industriji 4.0“ u okviru Lean Spring Summita u svibnju 2024. te na online transnacionalnoj radionici održanoj 20. studenoga 2024. godine.</w:t>
      </w:r>
    </w:p>
    <w:p w14:paraId="7D8CAC48" w14:textId="77777777" w:rsidR="00191B90" w:rsidRDefault="00191B90" w:rsidP="001E37DF">
      <w:pPr>
        <w:spacing w:after="0" w:line="240" w:lineRule="auto"/>
        <w:jc w:val="both"/>
        <w:rPr>
          <w:rFonts w:ascii="Times New Roman" w:eastAsia="Times New Roman" w:hAnsi="Times New Roman" w:cs="Times New Roman"/>
          <w:b/>
          <w:sz w:val="24"/>
          <w:szCs w:val="24"/>
          <w:shd w:val="clear" w:color="auto" w:fill="FFFFFF"/>
        </w:rPr>
      </w:pPr>
    </w:p>
    <w:p w14:paraId="3411CEE0" w14:textId="59326655" w:rsidR="004C6623" w:rsidRPr="004C6623" w:rsidRDefault="004C6623" w:rsidP="001E37DF">
      <w:pPr>
        <w:spacing w:after="0" w:line="240" w:lineRule="auto"/>
        <w:jc w:val="both"/>
        <w:rPr>
          <w:rFonts w:ascii="Times New Roman" w:eastAsia="Times New Roman" w:hAnsi="Times New Roman" w:cs="Times New Roman"/>
          <w:b/>
          <w:sz w:val="24"/>
          <w:szCs w:val="24"/>
          <w:shd w:val="clear" w:color="auto" w:fill="FFFFFF"/>
        </w:rPr>
      </w:pPr>
      <w:r w:rsidRPr="004C6623">
        <w:rPr>
          <w:rFonts w:ascii="Times New Roman" w:eastAsia="Times New Roman" w:hAnsi="Times New Roman" w:cs="Times New Roman"/>
          <w:b/>
          <w:sz w:val="24"/>
          <w:szCs w:val="24"/>
          <w:shd w:val="clear" w:color="auto" w:fill="FFFFFF"/>
        </w:rPr>
        <w:t>PROVEDBA PROJEKTA EUROPE DIRECT KOPRIVNIČKO-KRIŽEVAČKE ŽUPANIJE</w:t>
      </w:r>
    </w:p>
    <w:p w14:paraId="53132526" w14:textId="77777777" w:rsidR="004C6623" w:rsidRPr="00DD50FA" w:rsidRDefault="004C6623" w:rsidP="004C6623">
      <w:p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shd w:val="clear" w:color="auto" w:fill="FFFFFF"/>
        </w:rPr>
        <w:t>U okviru provedbe projekta Europe Direct Koprivničko-križevačke županije koji Razvojna agencija PORA KKŽ provodi od 2021.</w:t>
      </w:r>
      <w:r>
        <w:rPr>
          <w:rFonts w:ascii="Times New Roman" w:hAnsi="Times New Roman" w:cs="Times New Roman"/>
          <w:sz w:val="24"/>
          <w:szCs w:val="24"/>
          <w:shd w:val="clear" w:color="auto" w:fill="FFFFFF"/>
        </w:rPr>
        <w:t xml:space="preserve"> </w:t>
      </w:r>
      <w:r w:rsidRPr="00DD50FA">
        <w:rPr>
          <w:rFonts w:ascii="Times New Roman" w:hAnsi="Times New Roman" w:cs="Times New Roman"/>
          <w:sz w:val="24"/>
          <w:szCs w:val="24"/>
        </w:rPr>
        <w:t>održano je 18 radionica, seminara, predstavljanja i ostalih događaja u kojima je sudjelovalo više od 600 predstavnika privatnog, javnog, znanstveno-istraživačkog i civilnog sektora. Navedena događanja održana su fizički, on line te hibridnim putem, a izdvajamo sljedeće:</w:t>
      </w:r>
    </w:p>
    <w:p w14:paraId="2085160C" w14:textId="77777777" w:rsidR="004C6623" w:rsidRPr="00DD50FA" w:rsidRDefault="004C6623" w:rsidP="004C6623">
      <w:pPr>
        <w:pStyle w:val="ListParagraph"/>
        <w:numPr>
          <w:ilvl w:val="0"/>
          <w:numId w:val="17"/>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održane su </w:t>
      </w:r>
      <w:r w:rsidRPr="00DD50FA">
        <w:rPr>
          <w:rFonts w:ascii="Times New Roman" w:hAnsi="Times New Roman" w:cs="Times New Roman"/>
          <w:sz w:val="24"/>
          <w:szCs w:val="24"/>
          <w:u w:val="single"/>
        </w:rPr>
        <w:t>radionice, predstavljanja i info dani</w:t>
      </w:r>
      <w:r w:rsidRPr="00DD50FA">
        <w:rPr>
          <w:rFonts w:ascii="Times New Roman" w:hAnsi="Times New Roman" w:cs="Times New Roman"/>
          <w:sz w:val="24"/>
          <w:szCs w:val="24"/>
        </w:rPr>
        <w:t xml:space="preserve"> na teme vezane uz Mehanizam za oporavak i otpornost, info dan za poduzetnike na teme aktualnih poticaja, zatim studijski posjet u Brodsko-posavsku i Požeško-slavonsku županiju za dionike iz Kop</w:t>
      </w:r>
      <w:r>
        <w:rPr>
          <w:rFonts w:ascii="Times New Roman" w:hAnsi="Times New Roman" w:cs="Times New Roman"/>
          <w:sz w:val="24"/>
          <w:szCs w:val="24"/>
        </w:rPr>
        <w:t>r</w:t>
      </w:r>
      <w:r w:rsidRPr="00DD50FA">
        <w:rPr>
          <w:rFonts w:ascii="Times New Roman" w:hAnsi="Times New Roman" w:cs="Times New Roman"/>
          <w:sz w:val="24"/>
          <w:szCs w:val="24"/>
        </w:rPr>
        <w:t>iv</w:t>
      </w:r>
      <w:r>
        <w:rPr>
          <w:rFonts w:ascii="Times New Roman" w:hAnsi="Times New Roman" w:cs="Times New Roman"/>
          <w:sz w:val="24"/>
          <w:szCs w:val="24"/>
        </w:rPr>
        <w:t>n</w:t>
      </w:r>
      <w:r w:rsidRPr="00DD50FA">
        <w:rPr>
          <w:rFonts w:ascii="Times New Roman" w:hAnsi="Times New Roman" w:cs="Times New Roman"/>
          <w:sz w:val="24"/>
          <w:szCs w:val="24"/>
        </w:rPr>
        <w:t>ičko-križevačke županije iz područja poljoprivrede i ruralnog razvoja na temu razmjene iskustava iz područja poljoprivrede, zatim održano je predstavljanje LIFE Programa za potencijalne prijavitelje iz Koprivničko-križevačke županije;</w:t>
      </w:r>
    </w:p>
    <w:p w14:paraId="2CAB8BC6" w14:textId="77777777" w:rsidR="004C6623" w:rsidRPr="00DD50FA" w:rsidRDefault="004C6623" w:rsidP="004C6623">
      <w:pPr>
        <w:pStyle w:val="ListParagraph"/>
        <w:numPr>
          <w:ilvl w:val="0"/>
          <w:numId w:val="17"/>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organizirane su i održane </w:t>
      </w:r>
      <w:r w:rsidRPr="00DD50FA">
        <w:rPr>
          <w:rFonts w:ascii="Times New Roman" w:hAnsi="Times New Roman" w:cs="Times New Roman"/>
          <w:sz w:val="24"/>
          <w:szCs w:val="24"/>
          <w:u w:val="single"/>
        </w:rPr>
        <w:t>on line radionice</w:t>
      </w:r>
      <w:r w:rsidRPr="00DD50FA">
        <w:rPr>
          <w:rFonts w:ascii="Times New Roman" w:hAnsi="Times New Roman" w:cs="Times New Roman"/>
          <w:sz w:val="24"/>
          <w:szCs w:val="24"/>
        </w:rPr>
        <w:t xml:space="preserve"> na sljedeće aktualne teme: „Umjetna inteligencija – prilika ili izazov“, „Erasmus za mlade poduzetnike“, „Kako komunicirati </w:t>
      </w:r>
      <w:r w:rsidRPr="00DD50FA">
        <w:rPr>
          <w:rFonts w:ascii="Times New Roman" w:hAnsi="Times New Roman" w:cs="Times New Roman"/>
          <w:sz w:val="24"/>
          <w:szCs w:val="24"/>
        </w:rPr>
        <w:lastRenderedPageBreak/>
        <w:t>sa učenicima osnovnih škola u digitalnim vremenima“, „Vaučeri za obrazovanje zaposlenih i nezaposlenih osoba“ i „Najava natječaja za civilno društvo“ u okviru Programa Kreativna Europa i mreže CERV;</w:t>
      </w:r>
    </w:p>
    <w:p w14:paraId="4C1DF45C" w14:textId="77777777" w:rsidR="004C6623" w:rsidRPr="00DD50FA" w:rsidRDefault="004C6623" w:rsidP="004C6623">
      <w:pPr>
        <w:pStyle w:val="ListParagraph"/>
        <w:numPr>
          <w:ilvl w:val="0"/>
          <w:numId w:val="17"/>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u organizaciji Europe Directa KKŽ održana su i </w:t>
      </w:r>
      <w:r w:rsidRPr="00DD50FA">
        <w:rPr>
          <w:rFonts w:ascii="Times New Roman" w:hAnsi="Times New Roman" w:cs="Times New Roman"/>
          <w:sz w:val="24"/>
          <w:szCs w:val="24"/>
          <w:u w:val="single"/>
        </w:rPr>
        <w:t>2 EU kviza</w:t>
      </w:r>
      <w:r w:rsidRPr="00DD50FA">
        <w:rPr>
          <w:rFonts w:ascii="Times New Roman" w:hAnsi="Times New Roman" w:cs="Times New Roman"/>
          <w:sz w:val="24"/>
          <w:szCs w:val="24"/>
        </w:rPr>
        <w:t xml:space="preserve"> za učenike završnih razreda srednjih škola iz KKŽ na teme vezane uz Europu i Europsku </w:t>
      </w:r>
      <w:r>
        <w:rPr>
          <w:rFonts w:ascii="Times New Roman" w:hAnsi="Times New Roman" w:cs="Times New Roman"/>
          <w:sz w:val="24"/>
          <w:szCs w:val="24"/>
        </w:rPr>
        <w:t>u</w:t>
      </w:r>
      <w:r w:rsidRPr="00DD50FA">
        <w:rPr>
          <w:rFonts w:ascii="Times New Roman" w:hAnsi="Times New Roman" w:cs="Times New Roman"/>
          <w:sz w:val="24"/>
          <w:szCs w:val="24"/>
        </w:rPr>
        <w:t>niju;</w:t>
      </w:r>
    </w:p>
    <w:p w14:paraId="34344790" w14:textId="77777777" w:rsidR="004C6623" w:rsidRDefault="004C6623" w:rsidP="004C6623">
      <w:pPr>
        <w:pStyle w:val="ListParagraph"/>
        <w:numPr>
          <w:ilvl w:val="0"/>
          <w:numId w:val="17"/>
        </w:numPr>
        <w:spacing w:after="0" w:line="240" w:lineRule="auto"/>
        <w:jc w:val="both"/>
        <w:rPr>
          <w:rFonts w:ascii="Times New Roman" w:hAnsi="Times New Roman" w:cs="Times New Roman"/>
          <w:sz w:val="24"/>
          <w:szCs w:val="24"/>
        </w:rPr>
      </w:pPr>
      <w:r w:rsidRPr="00DD50FA">
        <w:rPr>
          <w:rFonts w:ascii="Times New Roman" w:hAnsi="Times New Roman" w:cs="Times New Roman"/>
          <w:sz w:val="24"/>
          <w:szCs w:val="24"/>
        </w:rPr>
        <w:t xml:space="preserve">također se Europe Direct KKŽ priključio održavanju </w:t>
      </w:r>
      <w:r w:rsidRPr="00DD50FA">
        <w:rPr>
          <w:rFonts w:ascii="Times New Roman" w:hAnsi="Times New Roman" w:cs="Times New Roman"/>
          <w:sz w:val="24"/>
          <w:szCs w:val="24"/>
          <w:u w:val="single"/>
        </w:rPr>
        <w:t>Dana otvorenih vrata</w:t>
      </w:r>
      <w:r w:rsidRPr="00DD50FA">
        <w:rPr>
          <w:rFonts w:ascii="Times New Roman" w:hAnsi="Times New Roman" w:cs="Times New Roman"/>
          <w:sz w:val="24"/>
          <w:szCs w:val="24"/>
        </w:rPr>
        <w:t xml:space="preserve"> srednjih i strukovnih škola u KKŽ te je sudjelovao na 3 takva događanja.</w:t>
      </w:r>
    </w:p>
    <w:p w14:paraId="63DDE7D1" w14:textId="77777777" w:rsidR="004C6623" w:rsidRDefault="004C6623" w:rsidP="001E37DF">
      <w:pPr>
        <w:spacing w:after="0" w:line="240" w:lineRule="auto"/>
        <w:jc w:val="both"/>
        <w:rPr>
          <w:rFonts w:ascii="Times New Roman" w:eastAsia="Times New Roman" w:hAnsi="Times New Roman" w:cs="Times New Roman"/>
          <w:bCs/>
          <w:sz w:val="24"/>
          <w:szCs w:val="24"/>
          <w:shd w:val="clear" w:color="auto" w:fill="FFFFFF"/>
        </w:rPr>
      </w:pPr>
    </w:p>
    <w:p w14:paraId="395DACDB" w14:textId="77777777" w:rsidR="008D1232" w:rsidRDefault="008D1232" w:rsidP="001E37DF">
      <w:pPr>
        <w:spacing w:after="0" w:line="240" w:lineRule="auto"/>
        <w:jc w:val="both"/>
        <w:rPr>
          <w:rFonts w:ascii="Times New Roman" w:eastAsia="Times New Roman" w:hAnsi="Times New Roman" w:cs="Times New Roman"/>
          <w:b/>
          <w:sz w:val="24"/>
          <w:szCs w:val="24"/>
          <w:lang w:eastAsia="hr-HR"/>
        </w:rPr>
      </w:pPr>
    </w:p>
    <w:p w14:paraId="197BEEEF" w14:textId="72A1844F" w:rsidR="001E37DF" w:rsidRPr="00DD50FA" w:rsidRDefault="001E37DF" w:rsidP="001E37DF">
      <w:pPr>
        <w:spacing w:after="0" w:line="240" w:lineRule="auto"/>
        <w:jc w:val="both"/>
        <w:rPr>
          <w:rFonts w:ascii="Times New Roman" w:hAnsi="Times New Roman" w:cs="Times New Roman"/>
          <w:color w:val="FF0000"/>
          <w:sz w:val="24"/>
          <w:szCs w:val="24"/>
        </w:rPr>
      </w:pPr>
      <w:r w:rsidRPr="00DD50FA">
        <w:rPr>
          <w:rFonts w:ascii="Times New Roman" w:eastAsia="Times New Roman" w:hAnsi="Times New Roman" w:cs="Times New Roman"/>
          <w:b/>
          <w:sz w:val="24"/>
          <w:szCs w:val="24"/>
          <w:lang w:eastAsia="hr-HR"/>
        </w:rPr>
        <w:t xml:space="preserve">SURADNJA S LAG-ovima </w:t>
      </w:r>
    </w:p>
    <w:p w14:paraId="428A1460" w14:textId="77777777" w:rsidR="001E37DF" w:rsidRPr="00DD50FA" w:rsidRDefault="001E37DF" w:rsidP="001E37DF">
      <w:pPr>
        <w:shd w:val="clear" w:color="auto" w:fill="FFFFFF"/>
        <w:spacing w:after="0" w:line="240" w:lineRule="auto"/>
        <w:jc w:val="both"/>
        <w:rPr>
          <w:rFonts w:ascii="Times New Roman" w:eastAsia="Times New Roman" w:hAnsi="Times New Roman" w:cs="Times New Roman"/>
          <w:sz w:val="24"/>
          <w:szCs w:val="24"/>
          <w:lang w:eastAsia="hr-HR"/>
        </w:rPr>
      </w:pPr>
      <w:r w:rsidRPr="00DD50FA">
        <w:rPr>
          <w:rFonts w:ascii="Times New Roman" w:eastAsia="Times New Roman" w:hAnsi="Times New Roman" w:cs="Times New Roman"/>
          <w:sz w:val="24"/>
          <w:szCs w:val="24"/>
          <w:lang w:eastAsia="hr-HR"/>
        </w:rPr>
        <w:t>Razvojna agencija KKŽ kontinuirano ima vrlo dobru suradnju s LAG-ovima koji djeluju na području KKŽ stoga je i u 2024. godini održala sastanak s istima na aktualne teme vezane uz ruralni razvoj.</w:t>
      </w:r>
    </w:p>
    <w:p w14:paraId="463C80A4" w14:textId="697BCB48" w:rsidR="001E37DF" w:rsidRPr="00DD50FA" w:rsidRDefault="001E37DF" w:rsidP="001E37DF">
      <w:pPr>
        <w:spacing w:after="0" w:line="240" w:lineRule="auto"/>
        <w:contextualSpacing/>
        <w:jc w:val="both"/>
        <w:rPr>
          <w:rFonts w:ascii="Times New Roman" w:hAnsi="Times New Roman" w:cs="Times New Roman"/>
          <w:b/>
          <w:color w:val="000000" w:themeColor="text1"/>
          <w:sz w:val="24"/>
          <w:szCs w:val="24"/>
        </w:rPr>
      </w:pPr>
      <w:r w:rsidRPr="00DD50FA">
        <w:rPr>
          <w:rFonts w:ascii="Times New Roman" w:hAnsi="Times New Roman" w:cs="Times New Roman"/>
          <w:b/>
          <w:color w:val="000000" w:themeColor="text1"/>
          <w:sz w:val="24"/>
          <w:szCs w:val="24"/>
        </w:rPr>
        <w:t>AKTIVNOSTI PROMIDŽBE KOPRIVNIČKO-KRIŽEVAČKE ŽUPANIJE</w:t>
      </w:r>
    </w:p>
    <w:p w14:paraId="1A1FDE49" w14:textId="73CCB6CC" w:rsidR="001E37DF" w:rsidRDefault="001E37DF" w:rsidP="001E37DF">
      <w:pPr>
        <w:spacing w:after="0" w:line="240" w:lineRule="auto"/>
        <w:contextualSpacing/>
        <w:jc w:val="both"/>
        <w:rPr>
          <w:rFonts w:ascii="Times New Roman" w:hAnsi="Times New Roman" w:cs="Times New Roman"/>
          <w:color w:val="000000" w:themeColor="text1"/>
          <w:sz w:val="24"/>
          <w:szCs w:val="24"/>
        </w:rPr>
      </w:pPr>
      <w:r w:rsidRPr="00DD50FA">
        <w:rPr>
          <w:rFonts w:ascii="Times New Roman" w:hAnsi="Times New Roman" w:cs="Times New Roman"/>
          <w:color w:val="000000" w:themeColor="text1"/>
          <w:sz w:val="24"/>
          <w:szCs w:val="24"/>
        </w:rPr>
        <w:t>Razvojna agencija PORA KKŽ je kao jedan od suorganizatora u razdoblju od 8. studenoga do 10. studenoga 202</w:t>
      </w:r>
      <w:r w:rsidR="00AE5DE9">
        <w:rPr>
          <w:rFonts w:ascii="Times New Roman" w:hAnsi="Times New Roman" w:cs="Times New Roman"/>
          <w:color w:val="000000" w:themeColor="text1"/>
          <w:sz w:val="24"/>
          <w:szCs w:val="24"/>
        </w:rPr>
        <w:t>4</w:t>
      </w:r>
      <w:r w:rsidRPr="00DD50FA">
        <w:rPr>
          <w:rFonts w:ascii="Times New Roman" w:hAnsi="Times New Roman" w:cs="Times New Roman"/>
          <w:color w:val="000000" w:themeColor="text1"/>
          <w:sz w:val="24"/>
          <w:szCs w:val="24"/>
        </w:rPr>
        <w:t>. sudjelovala na 27. Obrtničkom i gospodarskom sajmu u Križevcima.</w:t>
      </w:r>
    </w:p>
    <w:p w14:paraId="78FED839" w14:textId="77777777" w:rsidR="007A0463" w:rsidRDefault="007A0463" w:rsidP="001E37DF">
      <w:pPr>
        <w:spacing w:after="0" w:line="240" w:lineRule="auto"/>
        <w:contextualSpacing/>
        <w:jc w:val="both"/>
        <w:rPr>
          <w:rFonts w:ascii="Times New Roman" w:hAnsi="Times New Roman" w:cs="Times New Roman"/>
          <w:color w:val="000000" w:themeColor="text1"/>
          <w:sz w:val="24"/>
          <w:szCs w:val="24"/>
        </w:rPr>
      </w:pPr>
    </w:p>
    <w:p w14:paraId="6DC4F4C7" w14:textId="77777777" w:rsidR="007A0463" w:rsidRDefault="007A0463" w:rsidP="001E37DF">
      <w:pPr>
        <w:spacing w:after="0" w:line="240" w:lineRule="auto"/>
        <w:contextualSpacing/>
        <w:jc w:val="both"/>
        <w:rPr>
          <w:rFonts w:ascii="Times New Roman" w:hAnsi="Times New Roman" w:cs="Times New Roman"/>
          <w:color w:val="000000" w:themeColor="text1"/>
          <w:sz w:val="24"/>
          <w:szCs w:val="24"/>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277"/>
        <w:gridCol w:w="1276"/>
        <w:gridCol w:w="1419"/>
        <w:gridCol w:w="1569"/>
      </w:tblGrid>
      <w:tr w:rsidR="001E37DF" w:rsidRPr="00F120D7" w14:paraId="681EE15A" w14:textId="77777777" w:rsidTr="00C37BF6">
        <w:trPr>
          <w:jc w:val="center"/>
        </w:trPr>
        <w:tc>
          <w:tcPr>
            <w:tcW w:w="42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7366F9" w14:textId="77777777" w:rsidR="001E37DF" w:rsidRPr="00F120D7" w:rsidRDefault="001E37DF" w:rsidP="00C37BF6">
            <w:pPr>
              <w:spacing w:after="0" w:line="240" w:lineRule="auto"/>
              <w:jc w:val="both"/>
              <w:rPr>
                <w:rFonts w:ascii="Times New Roman" w:hAnsi="Times New Roman" w:cs="Times New Roman"/>
                <w:b/>
                <w:bCs/>
              </w:rPr>
            </w:pPr>
            <w:r w:rsidRPr="00F120D7">
              <w:rPr>
                <w:rFonts w:ascii="Times New Roman" w:hAnsi="Times New Roman" w:cs="Times New Roman"/>
                <w:b/>
                <w:bCs/>
              </w:rPr>
              <w:t>Pokazatelji uspješnosti</w:t>
            </w:r>
          </w:p>
        </w:tc>
        <w:tc>
          <w:tcPr>
            <w:tcW w:w="1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422DBB"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Jed. mjere</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E13F83"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Polazna vrijednost</w:t>
            </w:r>
          </w:p>
        </w:tc>
        <w:tc>
          <w:tcPr>
            <w:tcW w:w="14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E89F6"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Ciljana vrijednost</w:t>
            </w:r>
          </w:p>
          <w:p w14:paraId="280F887F"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2024.</w:t>
            </w:r>
          </w:p>
        </w:tc>
        <w:tc>
          <w:tcPr>
            <w:tcW w:w="15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F439B7"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 xml:space="preserve">Realizirano </w:t>
            </w:r>
          </w:p>
          <w:p w14:paraId="1257098F"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01.01.-31.12.</w:t>
            </w:r>
          </w:p>
          <w:p w14:paraId="301671F7" w14:textId="77777777" w:rsidR="001E37DF" w:rsidRPr="00F120D7" w:rsidRDefault="001E37DF" w:rsidP="00C37BF6">
            <w:pPr>
              <w:spacing w:after="0" w:line="240" w:lineRule="auto"/>
              <w:jc w:val="center"/>
              <w:rPr>
                <w:rFonts w:ascii="Times New Roman" w:hAnsi="Times New Roman" w:cs="Times New Roman"/>
                <w:b/>
                <w:bCs/>
              </w:rPr>
            </w:pPr>
            <w:r w:rsidRPr="00F120D7">
              <w:rPr>
                <w:rFonts w:ascii="Times New Roman" w:hAnsi="Times New Roman" w:cs="Times New Roman"/>
                <w:b/>
                <w:bCs/>
              </w:rPr>
              <w:t>2024.</w:t>
            </w:r>
          </w:p>
        </w:tc>
      </w:tr>
      <w:tr w:rsidR="001E37DF" w:rsidRPr="00F120D7" w14:paraId="08503D82" w14:textId="77777777" w:rsidTr="00C37BF6">
        <w:trPr>
          <w:jc w:val="center"/>
        </w:trPr>
        <w:tc>
          <w:tcPr>
            <w:tcW w:w="4254" w:type="dxa"/>
            <w:tcBorders>
              <w:top w:val="single" w:sz="4" w:space="0" w:color="auto"/>
              <w:left w:val="single" w:sz="4" w:space="0" w:color="auto"/>
              <w:bottom w:val="single" w:sz="4" w:space="0" w:color="auto"/>
              <w:right w:val="single" w:sz="4" w:space="0" w:color="auto"/>
            </w:tcBorders>
            <w:vAlign w:val="center"/>
            <w:hideMark/>
          </w:tcPr>
          <w:p w14:paraId="03B8249F" w14:textId="77777777" w:rsidR="001E37DF" w:rsidRPr="00F120D7" w:rsidRDefault="001E37DF" w:rsidP="00C37BF6">
            <w:pPr>
              <w:spacing w:after="0" w:line="240" w:lineRule="auto"/>
              <w:jc w:val="both"/>
              <w:rPr>
                <w:rFonts w:ascii="Times New Roman" w:hAnsi="Times New Roman" w:cs="Times New Roman"/>
                <w:color w:val="FF0000"/>
                <w:lang w:eastAsia="zh-CN"/>
              </w:rPr>
            </w:pPr>
            <w:r w:rsidRPr="00F120D7">
              <w:rPr>
                <w:rFonts w:ascii="Times New Roman" w:hAnsi="Times New Roman" w:cs="Times New Roman"/>
                <w:lang w:eastAsia="zh-CN"/>
              </w:rPr>
              <w:t>Izrađene sektorske strategije i ažurirani kratkoročni strateški dokumenti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A61A2F4"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B55784"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DEB1382"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6</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E5830AE"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0</w:t>
            </w:r>
          </w:p>
        </w:tc>
      </w:tr>
      <w:tr w:rsidR="001E37DF" w:rsidRPr="00F120D7" w14:paraId="11E7AD7E" w14:textId="77777777" w:rsidTr="00C37BF6">
        <w:trPr>
          <w:jc w:val="center"/>
        </w:trPr>
        <w:tc>
          <w:tcPr>
            <w:tcW w:w="4254" w:type="dxa"/>
            <w:tcBorders>
              <w:top w:val="single" w:sz="4" w:space="0" w:color="auto"/>
              <w:left w:val="single" w:sz="4" w:space="0" w:color="auto"/>
              <w:bottom w:val="single" w:sz="4" w:space="0" w:color="auto"/>
              <w:right w:val="single" w:sz="4" w:space="0" w:color="auto"/>
            </w:tcBorders>
            <w:vAlign w:val="center"/>
            <w:hideMark/>
          </w:tcPr>
          <w:p w14:paraId="095463D8" w14:textId="77777777" w:rsidR="001E37DF" w:rsidRPr="00F120D7" w:rsidRDefault="001E37DF" w:rsidP="00C37BF6">
            <w:pPr>
              <w:spacing w:after="0" w:line="240" w:lineRule="auto"/>
              <w:rPr>
                <w:rFonts w:ascii="Times New Roman" w:hAnsi="Times New Roman" w:cs="Times New Roman"/>
                <w:lang w:eastAsia="zh-CN"/>
              </w:rPr>
            </w:pPr>
            <w:r w:rsidRPr="00F120D7">
              <w:rPr>
                <w:rFonts w:ascii="Times New Roman" w:hAnsi="Times New Roman" w:cs="Times New Roman"/>
                <w:lang w:eastAsia="zh-CN"/>
              </w:rPr>
              <w:t>Izrađena nova izvješća o provedbi strateških dokumenata</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587111E"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A84F7E"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8FE52F7"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2</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FC19E6E"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2</w:t>
            </w:r>
          </w:p>
        </w:tc>
      </w:tr>
      <w:tr w:rsidR="001E37DF" w:rsidRPr="00F120D7" w14:paraId="53A9322B" w14:textId="77777777" w:rsidTr="00C37BF6">
        <w:trPr>
          <w:trHeight w:val="96"/>
          <w:jc w:val="center"/>
        </w:trPr>
        <w:tc>
          <w:tcPr>
            <w:tcW w:w="4254" w:type="dxa"/>
            <w:tcBorders>
              <w:top w:val="single" w:sz="4" w:space="0" w:color="auto"/>
              <w:left w:val="single" w:sz="4" w:space="0" w:color="auto"/>
              <w:bottom w:val="single" w:sz="4" w:space="0" w:color="auto"/>
              <w:right w:val="single" w:sz="4" w:space="0" w:color="auto"/>
            </w:tcBorders>
            <w:vAlign w:val="center"/>
            <w:hideMark/>
          </w:tcPr>
          <w:p w14:paraId="7FF771D8" w14:textId="77777777" w:rsidR="001E37DF" w:rsidRPr="00F120D7" w:rsidRDefault="001E37DF" w:rsidP="00C37BF6">
            <w:pPr>
              <w:spacing w:after="0" w:line="240" w:lineRule="auto"/>
              <w:jc w:val="both"/>
              <w:rPr>
                <w:rFonts w:ascii="Times New Roman" w:hAnsi="Times New Roman" w:cs="Times New Roman"/>
                <w:lang w:eastAsia="zh-CN"/>
              </w:rPr>
            </w:pPr>
            <w:r w:rsidRPr="00F120D7">
              <w:rPr>
                <w:rFonts w:ascii="Times New Roman" w:hAnsi="Times New Roman" w:cs="Times New Roman"/>
              </w:rPr>
              <w:t>Podrška JLS-ima u realizaciji projekata koji doprinose ravnomjernom regionalnom razvoju</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D758B7"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33807"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50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1392C54"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55</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9664671"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67</w:t>
            </w:r>
          </w:p>
        </w:tc>
      </w:tr>
      <w:tr w:rsidR="001E37DF" w:rsidRPr="00F120D7" w14:paraId="3E4B5AC8" w14:textId="77777777" w:rsidTr="00C37BF6">
        <w:trPr>
          <w:trHeight w:val="96"/>
          <w:jc w:val="center"/>
        </w:trPr>
        <w:tc>
          <w:tcPr>
            <w:tcW w:w="4254" w:type="dxa"/>
            <w:tcBorders>
              <w:top w:val="single" w:sz="4" w:space="0" w:color="auto"/>
              <w:left w:val="single" w:sz="4" w:space="0" w:color="auto"/>
              <w:bottom w:val="single" w:sz="4" w:space="0" w:color="auto"/>
              <w:right w:val="single" w:sz="4" w:space="0" w:color="auto"/>
            </w:tcBorders>
            <w:vAlign w:val="center"/>
            <w:hideMark/>
          </w:tcPr>
          <w:p w14:paraId="1CF682A6" w14:textId="77777777" w:rsidR="001E37DF" w:rsidRPr="00F120D7" w:rsidRDefault="001E37DF" w:rsidP="00C37BF6">
            <w:pPr>
              <w:spacing w:after="0" w:line="240" w:lineRule="auto"/>
              <w:jc w:val="both"/>
              <w:rPr>
                <w:rFonts w:ascii="Times New Roman" w:hAnsi="Times New Roman" w:cs="Times New Roman"/>
              </w:rPr>
            </w:pPr>
            <w:r w:rsidRPr="00F120D7">
              <w:rPr>
                <w:rFonts w:ascii="Times New Roman" w:hAnsi="Times New Roman" w:cs="Times New Roman"/>
              </w:rPr>
              <w:t>Broj provedenih projekata i aktivnosti ključnih za poticanje razvoja gospodarstva i poduzetništva – Industrijska tranzicija i ZPP</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FEEAC7"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81B147"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450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7ADA98"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500</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720BEF9"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670</w:t>
            </w:r>
          </w:p>
        </w:tc>
      </w:tr>
      <w:tr w:rsidR="001E37DF" w:rsidRPr="00F120D7" w14:paraId="323F3D77" w14:textId="77777777" w:rsidTr="00C37BF6">
        <w:trPr>
          <w:trHeight w:val="96"/>
          <w:jc w:val="center"/>
        </w:trPr>
        <w:tc>
          <w:tcPr>
            <w:tcW w:w="4254" w:type="dxa"/>
            <w:tcBorders>
              <w:top w:val="single" w:sz="4" w:space="0" w:color="auto"/>
              <w:left w:val="single" w:sz="4" w:space="0" w:color="auto"/>
              <w:bottom w:val="single" w:sz="4" w:space="0" w:color="auto"/>
              <w:right w:val="single" w:sz="4" w:space="0" w:color="auto"/>
            </w:tcBorders>
            <w:vAlign w:val="center"/>
            <w:hideMark/>
          </w:tcPr>
          <w:p w14:paraId="6BE67C1A" w14:textId="77777777" w:rsidR="001E37DF" w:rsidRPr="00F120D7" w:rsidRDefault="001E37DF" w:rsidP="00C37BF6">
            <w:pPr>
              <w:spacing w:after="0" w:line="240" w:lineRule="auto"/>
              <w:jc w:val="both"/>
              <w:rPr>
                <w:rFonts w:ascii="Times New Roman" w:hAnsi="Times New Roman" w:cs="Times New Roman"/>
              </w:rPr>
            </w:pPr>
            <w:r w:rsidRPr="00F120D7">
              <w:rPr>
                <w:rFonts w:ascii="Times New Roman" w:hAnsi="Times New Roman" w:cs="Times New Roman"/>
              </w:rPr>
              <w:t>Suorganizirani sajmovi i manifestacije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33DC4C"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9703FC"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080B31D"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1</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4642DD6"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1</w:t>
            </w:r>
          </w:p>
        </w:tc>
      </w:tr>
      <w:tr w:rsidR="001E37DF" w:rsidRPr="00F120D7" w14:paraId="2C6F7C33" w14:textId="77777777" w:rsidTr="00C37BF6">
        <w:trPr>
          <w:trHeight w:val="96"/>
          <w:jc w:val="center"/>
        </w:trPr>
        <w:tc>
          <w:tcPr>
            <w:tcW w:w="4254" w:type="dxa"/>
            <w:tcBorders>
              <w:top w:val="single" w:sz="4" w:space="0" w:color="auto"/>
              <w:left w:val="single" w:sz="4" w:space="0" w:color="auto"/>
              <w:bottom w:val="single" w:sz="4" w:space="0" w:color="auto"/>
              <w:right w:val="single" w:sz="4" w:space="0" w:color="auto"/>
            </w:tcBorders>
            <w:vAlign w:val="center"/>
            <w:hideMark/>
          </w:tcPr>
          <w:p w14:paraId="3F25C616" w14:textId="77777777" w:rsidR="001E37DF" w:rsidRPr="00F120D7" w:rsidRDefault="001E37DF" w:rsidP="00C37BF6">
            <w:pPr>
              <w:spacing w:after="0" w:line="240" w:lineRule="auto"/>
              <w:jc w:val="both"/>
              <w:rPr>
                <w:rFonts w:ascii="Times New Roman" w:hAnsi="Times New Roman" w:cs="Times New Roman"/>
              </w:rPr>
            </w:pPr>
            <w:r w:rsidRPr="00F120D7">
              <w:rPr>
                <w:rFonts w:ascii="Times New Roman" w:hAnsi="Times New Roman" w:cs="Times New Roman"/>
              </w:rPr>
              <w:t>Sastanci stručnog tijela i koordinacije za malo i srednje poduzetništvo, LAG-ova te ključnih dionika za gospodarski razvoj</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72D1B40"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7B3740"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A035349"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4</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C9F0AD5" w14:textId="77777777" w:rsidR="001E37DF" w:rsidRPr="00F120D7" w:rsidRDefault="001E37DF" w:rsidP="00C37BF6">
            <w:pPr>
              <w:spacing w:after="0" w:line="240" w:lineRule="auto"/>
              <w:jc w:val="center"/>
              <w:rPr>
                <w:rFonts w:ascii="Times New Roman" w:hAnsi="Times New Roman" w:cs="Times New Roman"/>
                <w:bCs/>
              </w:rPr>
            </w:pPr>
            <w:r w:rsidRPr="00F120D7">
              <w:rPr>
                <w:rFonts w:ascii="Times New Roman" w:hAnsi="Times New Roman" w:cs="Times New Roman"/>
                <w:bCs/>
              </w:rPr>
              <w:t>5</w:t>
            </w:r>
          </w:p>
        </w:tc>
      </w:tr>
    </w:tbl>
    <w:p w14:paraId="4BFC7CE1" w14:textId="77777777" w:rsidR="001E37DF" w:rsidRPr="00DD50FA" w:rsidRDefault="001E37DF" w:rsidP="001E37DF">
      <w:pPr>
        <w:spacing w:after="0" w:line="240" w:lineRule="auto"/>
        <w:contextualSpacing/>
        <w:jc w:val="both"/>
        <w:rPr>
          <w:rFonts w:ascii="Times New Roman" w:hAnsi="Times New Roman" w:cs="Times New Roman"/>
          <w:b/>
          <w:color w:val="000000" w:themeColor="text1"/>
          <w:sz w:val="24"/>
          <w:szCs w:val="24"/>
        </w:rPr>
      </w:pPr>
    </w:p>
    <w:p w14:paraId="304FA11A" w14:textId="77777777" w:rsidR="001E37DF" w:rsidRPr="00DD50FA" w:rsidRDefault="001E37DF" w:rsidP="001E37DF">
      <w:pPr>
        <w:pStyle w:val="Heading2"/>
        <w:rPr>
          <w:rFonts w:ascii="Times New Roman" w:hAnsi="Times New Roman" w:cs="Times New Roman"/>
          <w:b/>
          <w:bCs/>
          <w:color w:val="auto"/>
        </w:rPr>
      </w:pPr>
      <w:r w:rsidRPr="00DD50FA">
        <w:rPr>
          <w:rFonts w:ascii="Times New Roman" w:hAnsi="Times New Roman" w:cs="Times New Roman"/>
          <w:b/>
          <w:bCs/>
          <w:color w:val="auto"/>
        </w:rPr>
        <w:t xml:space="preserve">  3.2.2. AKTIVNOST A100153 EU PROJEKTI</w:t>
      </w:r>
      <w:bookmarkEnd w:id="2"/>
    </w:p>
    <w:p w14:paraId="79E4225B" w14:textId="77777777" w:rsidR="001E37DF" w:rsidRPr="00DD50FA" w:rsidRDefault="001E37DF" w:rsidP="001E37DF">
      <w:pPr>
        <w:spacing w:after="0" w:line="240" w:lineRule="auto"/>
        <w:jc w:val="both"/>
        <w:rPr>
          <w:rFonts w:ascii="Times New Roman" w:eastAsia="Calibri" w:hAnsi="Times New Roman" w:cs="Times New Roman"/>
          <w:b/>
          <w:sz w:val="24"/>
          <w:szCs w:val="24"/>
        </w:rPr>
      </w:pPr>
    </w:p>
    <w:p w14:paraId="4006FAF0" w14:textId="77777777" w:rsidR="001E37DF" w:rsidRPr="00DD50FA" w:rsidRDefault="001E37DF" w:rsidP="001E37DF">
      <w:pPr>
        <w:pStyle w:val="Heading3"/>
        <w:jc w:val="both"/>
        <w:rPr>
          <w:rFonts w:ascii="Times New Roman" w:eastAsia="Calibri" w:hAnsi="Times New Roman" w:cs="Times New Roman"/>
          <w:b/>
          <w:bCs/>
          <w:color w:val="auto"/>
        </w:rPr>
      </w:pPr>
      <w:bookmarkStart w:id="9" w:name="_Toc82430859"/>
      <w:bookmarkStart w:id="10" w:name="_Toc107984270"/>
      <w:r w:rsidRPr="00DD50FA">
        <w:rPr>
          <w:rFonts w:ascii="Times New Roman" w:eastAsia="Calibri" w:hAnsi="Times New Roman" w:cs="Times New Roman"/>
          <w:b/>
          <w:bCs/>
          <w:color w:val="auto"/>
        </w:rPr>
        <w:t xml:space="preserve">3.2.2.1. </w:t>
      </w:r>
      <w:bookmarkStart w:id="11" w:name="_Hlk92965501"/>
      <w:r w:rsidRPr="00DD50FA">
        <w:rPr>
          <w:rFonts w:ascii="Times New Roman" w:eastAsia="Calibri" w:hAnsi="Times New Roman" w:cs="Times New Roman"/>
          <w:b/>
          <w:bCs/>
          <w:color w:val="auto"/>
        </w:rPr>
        <w:t xml:space="preserve">POPIS PROJEKATA SUFINANCIRANIH IZ EU FONDOVA U KOJIMA JE RAZVOJNA AGENCIJA PORA KKŽ PRUŽALA STRUČNU POMOĆ </w:t>
      </w:r>
      <w:r w:rsidRPr="00DD50FA">
        <w:rPr>
          <w:rFonts w:ascii="Times New Roman" w:eastAsia="Calibri" w:hAnsi="Times New Roman" w:cs="Times New Roman"/>
          <w:b/>
          <w:bCs/>
          <w:color w:val="auto"/>
          <w:u w:val="single"/>
        </w:rPr>
        <w:t>U PRIPREMI</w:t>
      </w:r>
      <w:r w:rsidRPr="00DD50FA">
        <w:rPr>
          <w:rFonts w:ascii="Times New Roman" w:eastAsia="Calibri" w:hAnsi="Times New Roman" w:cs="Times New Roman"/>
          <w:b/>
          <w:bCs/>
          <w:color w:val="auto"/>
        </w:rPr>
        <w:t xml:space="preserve"> ZA JAVNOPRAVNA TIJELA S PODRUČJA KKŽ</w:t>
      </w:r>
      <w:bookmarkEnd w:id="9"/>
      <w:bookmarkEnd w:id="10"/>
      <w:r w:rsidRPr="00DD50FA">
        <w:rPr>
          <w:rFonts w:ascii="Times New Roman" w:eastAsia="Calibri" w:hAnsi="Times New Roman" w:cs="Times New Roman"/>
          <w:b/>
          <w:bCs/>
          <w:color w:val="auto"/>
        </w:rPr>
        <w:t xml:space="preserve"> </w:t>
      </w:r>
      <w:bookmarkEnd w:id="11"/>
    </w:p>
    <w:p w14:paraId="66D5A905" w14:textId="77777777" w:rsidR="001E37DF" w:rsidRPr="00DD50FA" w:rsidRDefault="001E37DF" w:rsidP="001E37DF">
      <w:pPr>
        <w:spacing w:after="0" w:line="240" w:lineRule="auto"/>
        <w:jc w:val="both"/>
        <w:rPr>
          <w:rFonts w:ascii="Times New Roman" w:eastAsia="Calibri" w:hAnsi="Times New Roman" w:cs="Times New Roman"/>
          <w:b/>
          <w:sz w:val="24"/>
          <w:szCs w:val="24"/>
        </w:rPr>
      </w:pPr>
    </w:p>
    <w:tbl>
      <w:tblPr>
        <w:tblpPr w:leftFromText="180" w:rightFromText="180" w:vertAnchor="text" w:tblpXSpec="center" w:tblpY="1"/>
        <w:tblOverlap w:val="never"/>
        <w:tblW w:w="9629" w:type="dxa"/>
        <w:tblLayout w:type="fixed"/>
        <w:tblLook w:val="04A0" w:firstRow="1" w:lastRow="0" w:firstColumn="1" w:lastColumn="0" w:noHBand="0" w:noVBand="1"/>
      </w:tblPr>
      <w:tblGrid>
        <w:gridCol w:w="699"/>
        <w:gridCol w:w="3969"/>
        <w:gridCol w:w="1559"/>
        <w:gridCol w:w="1701"/>
        <w:gridCol w:w="1701"/>
      </w:tblGrid>
      <w:tr w:rsidR="001E37DF" w:rsidRPr="00DD50FA" w14:paraId="08479029" w14:textId="77777777" w:rsidTr="00C37BF6">
        <w:trPr>
          <w:trHeight w:val="589"/>
        </w:trPr>
        <w:tc>
          <w:tcPr>
            <w:tcW w:w="699"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2DC20ADF"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R.B.</w:t>
            </w:r>
          </w:p>
        </w:tc>
        <w:tc>
          <w:tcPr>
            <w:tcW w:w="3969" w:type="dxa"/>
            <w:tcBorders>
              <w:top w:val="single" w:sz="8" w:space="0" w:color="auto"/>
              <w:left w:val="nil"/>
              <w:bottom w:val="single" w:sz="8" w:space="0" w:color="auto"/>
              <w:right w:val="single" w:sz="8" w:space="0" w:color="auto"/>
            </w:tcBorders>
            <w:shd w:val="clear" w:color="auto" w:fill="BFBFBF"/>
            <w:vAlign w:val="center"/>
            <w:hideMark/>
          </w:tcPr>
          <w:p w14:paraId="0827CFA0"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PROJEKT</w:t>
            </w:r>
          </w:p>
        </w:tc>
        <w:tc>
          <w:tcPr>
            <w:tcW w:w="1559" w:type="dxa"/>
            <w:tcBorders>
              <w:top w:val="single" w:sz="8" w:space="0" w:color="auto"/>
              <w:left w:val="nil"/>
              <w:bottom w:val="single" w:sz="8" w:space="0" w:color="auto"/>
              <w:right w:val="single" w:sz="8" w:space="0" w:color="auto"/>
            </w:tcBorders>
            <w:shd w:val="clear" w:color="auto" w:fill="BFBFBF"/>
            <w:vAlign w:val="center"/>
            <w:hideMark/>
          </w:tcPr>
          <w:p w14:paraId="7A54F2F4"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FOND</w:t>
            </w:r>
          </w:p>
        </w:tc>
        <w:tc>
          <w:tcPr>
            <w:tcW w:w="1701" w:type="dxa"/>
            <w:tcBorders>
              <w:top w:val="single" w:sz="4" w:space="0" w:color="auto"/>
              <w:left w:val="single" w:sz="8" w:space="0" w:color="auto"/>
              <w:bottom w:val="single" w:sz="8" w:space="0" w:color="auto"/>
              <w:right w:val="single" w:sz="8" w:space="0" w:color="auto"/>
            </w:tcBorders>
            <w:shd w:val="clear" w:color="auto" w:fill="BFBFBF"/>
            <w:vAlign w:val="center"/>
          </w:tcPr>
          <w:p w14:paraId="27F985EF"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UKUPAN IZNOS U EUR</w:t>
            </w:r>
          </w:p>
        </w:tc>
        <w:tc>
          <w:tcPr>
            <w:tcW w:w="1701" w:type="dxa"/>
            <w:tcBorders>
              <w:top w:val="single" w:sz="4" w:space="0" w:color="auto"/>
              <w:left w:val="single" w:sz="8" w:space="0" w:color="auto"/>
              <w:bottom w:val="single" w:sz="8" w:space="0" w:color="auto"/>
              <w:right w:val="single" w:sz="8" w:space="0" w:color="auto"/>
            </w:tcBorders>
            <w:shd w:val="clear" w:color="auto" w:fill="BFBFBF"/>
            <w:vAlign w:val="center"/>
            <w:hideMark/>
          </w:tcPr>
          <w:p w14:paraId="2A93EF14" w14:textId="3FAC1915" w:rsidR="001E37DF" w:rsidRPr="00F120D7" w:rsidRDefault="00536A6C" w:rsidP="00C37BF6">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PRIJAVITELJ/PARTNER</w:t>
            </w:r>
            <w:r w:rsidR="001E37DF" w:rsidRPr="00F120D7">
              <w:rPr>
                <w:rFonts w:ascii="Times New Roman" w:eastAsia="Times New Roman" w:hAnsi="Times New Roman" w:cs="Times New Roman"/>
                <w:b/>
                <w:bCs/>
                <w:lang w:eastAsia="hr-HR"/>
              </w:rPr>
              <w:t xml:space="preserve"> PROJEKTA</w:t>
            </w:r>
          </w:p>
        </w:tc>
      </w:tr>
      <w:tr w:rsidR="001E37DF" w:rsidRPr="00DD50FA" w14:paraId="52E64591"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3C7229B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w:t>
            </w:r>
          </w:p>
        </w:tc>
        <w:tc>
          <w:tcPr>
            <w:tcW w:w="3969" w:type="dxa"/>
            <w:tcBorders>
              <w:top w:val="nil"/>
              <w:left w:val="nil"/>
              <w:bottom w:val="single" w:sz="8" w:space="0" w:color="auto"/>
              <w:right w:val="single" w:sz="8" w:space="0" w:color="auto"/>
            </w:tcBorders>
            <w:vAlign w:val="center"/>
          </w:tcPr>
          <w:p w14:paraId="02B753DC"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 donošenje Prostornog plana uređenja Općine Hlebine putem elektroničkog sustava „ePlanovi“</w:t>
            </w:r>
          </w:p>
        </w:tc>
        <w:tc>
          <w:tcPr>
            <w:tcW w:w="1559" w:type="dxa"/>
            <w:tcBorders>
              <w:top w:val="nil"/>
              <w:left w:val="nil"/>
              <w:bottom w:val="single" w:sz="8" w:space="0" w:color="auto"/>
              <w:right w:val="single" w:sz="8" w:space="0" w:color="auto"/>
            </w:tcBorders>
            <w:vAlign w:val="center"/>
          </w:tcPr>
          <w:p w14:paraId="4E18D47F"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299CE11C"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0274B8E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Hlebine</w:t>
            </w:r>
          </w:p>
        </w:tc>
      </w:tr>
      <w:tr w:rsidR="001E37DF" w:rsidRPr="00DD50FA" w14:paraId="7CCA6334"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707A8B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w:t>
            </w:r>
          </w:p>
        </w:tc>
        <w:tc>
          <w:tcPr>
            <w:tcW w:w="3969" w:type="dxa"/>
            <w:tcBorders>
              <w:top w:val="nil"/>
              <w:left w:val="nil"/>
              <w:bottom w:val="single" w:sz="8" w:space="0" w:color="auto"/>
              <w:right w:val="single" w:sz="8" w:space="0" w:color="auto"/>
            </w:tcBorders>
            <w:vAlign w:val="center"/>
          </w:tcPr>
          <w:p w14:paraId="2BE13C12"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Sokolovac putem elektroničkog sustava „ePlanovi“</w:t>
            </w:r>
          </w:p>
        </w:tc>
        <w:tc>
          <w:tcPr>
            <w:tcW w:w="1559" w:type="dxa"/>
            <w:tcBorders>
              <w:top w:val="nil"/>
              <w:left w:val="nil"/>
              <w:bottom w:val="single" w:sz="8" w:space="0" w:color="auto"/>
              <w:right w:val="single" w:sz="8" w:space="0" w:color="auto"/>
            </w:tcBorders>
            <w:vAlign w:val="center"/>
          </w:tcPr>
          <w:p w14:paraId="7ACA371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3AB10C55"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3532E6B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Sokolovac</w:t>
            </w:r>
          </w:p>
        </w:tc>
      </w:tr>
      <w:tr w:rsidR="001E37DF" w:rsidRPr="00DD50FA" w14:paraId="6425F25F"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B4CC8D5"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lastRenderedPageBreak/>
              <w:t>3.</w:t>
            </w:r>
          </w:p>
        </w:tc>
        <w:tc>
          <w:tcPr>
            <w:tcW w:w="3969" w:type="dxa"/>
            <w:tcBorders>
              <w:top w:val="nil"/>
              <w:left w:val="nil"/>
              <w:bottom w:val="single" w:sz="8" w:space="0" w:color="auto"/>
              <w:right w:val="single" w:sz="8" w:space="0" w:color="auto"/>
            </w:tcBorders>
            <w:vAlign w:val="center"/>
          </w:tcPr>
          <w:p w14:paraId="4BC198D3"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Izmjene i dopune Prostornog plana uređenja Općine Koprivnički Ivanec</w:t>
            </w:r>
          </w:p>
        </w:tc>
        <w:tc>
          <w:tcPr>
            <w:tcW w:w="1559" w:type="dxa"/>
            <w:tcBorders>
              <w:top w:val="nil"/>
              <w:left w:val="nil"/>
              <w:bottom w:val="single" w:sz="8" w:space="0" w:color="auto"/>
              <w:right w:val="single" w:sz="8" w:space="0" w:color="auto"/>
            </w:tcBorders>
            <w:vAlign w:val="center"/>
          </w:tcPr>
          <w:p w14:paraId="5D10C3D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67354214"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0134DD9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Koprivnički Ivanec</w:t>
            </w:r>
          </w:p>
        </w:tc>
      </w:tr>
      <w:tr w:rsidR="001E37DF" w:rsidRPr="00DD50FA" w14:paraId="23A0FC2F"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1ED024C5"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w:t>
            </w:r>
          </w:p>
        </w:tc>
        <w:tc>
          <w:tcPr>
            <w:tcW w:w="3969" w:type="dxa"/>
            <w:tcBorders>
              <w:top w:val="nil"/>
              <w:left w:val="nil"/>
              <w:bottom w:val="single" w:sz="8" w:space="0" w:color="auto"/>
              <w:right w:val="single" w:sz="8" w:space="0" w:color="auto"/>
            </w:tcBorders>
            <w:vAlign w:val="center"/>
          </w:tcPr>
          <w:p w14:paraId="321F5AFB"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uređenja Prostornog plana Općine Đelekovec putem elektroničkog sustava „ePlanovi“</w:t>
            </w:r>
          </w:p>
        </w:tc>
        <w:tc>
          <w:tcPr>
            <w:tcW w:w="1559" w:type="dxa"/>
            <w:tcBorders>
              <w:top w:val="nil"/>
              <w:left w:val="nil"/>
              <w:bottom w:val="single" w:sz="8" w:space="0" w:color="auto"/>
              <w:right w:val="single" w:sz="8" w:space="0" w:color="auto"/>
            </w:tcBorders>
            <w:vAlign w:val="center"/>
          </w:tcPr>
          <w:p w14:paraId="77F2189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1DA7192D"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2E7D9A9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Đelekovec</w:t>
            </w:r>
          </w:p>
        </w:tc>
      </w:tr>
      <w:tr w:rsidR="001E37DF" w:rsidRPr="00DD50FA" w14:paraId="03876D3C"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1F762A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w:t>
            </w:r>
          </w:p>
        </w:tc>
        <w:tc>
          <w:tcPr>
            <w:tcW w:w="3969" w:type="dxa"/>
            <w:tcBorders>
              <w:top w:val="nil"/>
              <w:left w:val="nil"/>
              <w:bottom w:val="single" w:sz="8" w:space="0" w:color="auto"/>
              <w:right w:val="single" w:sz="8" w:space="0" w:color="auto"/>
            </w:tcBorders>
            <w:vAlign w:val="center"/>
          </w:tcPr>
          <w:p w14:paraId="3A916B41"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Sveti Ivan Žabno</w:t>
            </w:r>
          </w:p>
        </w:tc>
        <w:tc>
          <w:tcPr>
            <w:tcW w:w="1559" w:type="dxa"/>
            <w:tcBorders>
              <w:top w:val="nil"/>
              <w:left w:val="nil"/>
              <w:bottom w:val="single" w:sz="8" w:space="0" w:color="auto"/>
              <w:right w:val="single" w:sz="8" w:space="0" w:color="auto"/>
            </w:tcBorders>
            <w:vAlign w:val="center"/>
          </w:tcPr>
          <w:p w14:paraId="77CC5F5F"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7673B9A4"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24.000,00</w:t>
            </w:r>
          </w:p>
        </w:tc>
        <w:tc>
          <w:tcPr>
            <w:tcW w:w="1701" w:type="dxa"/>
            <w:tcBorders>
              <w:top w:val="nil"/>
              <w:left w:val="single" w:sz="8" w:space="0" w:color="auto"/>
              <w:bottom w:val="single" w:sz="8" w:space="0" w:color="auto"/>
              <w:right w:val="single" w:sz="8" w:space="0" w:color="auto"/>
            </w:tcBorders>
            <w:vAlign w:val="center"/>
          </w:tcPr>
          <w:p w14:paraId="50A5CBC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Sveti Ivan Žabno</w:t>
            </w:r>
          </w:p>
        </w:tc>
      </w:tr>
      <w:tr w:rsidR="001E37DF" w:rsidRPr="00DD50FA" w14:paraId="45537318"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D76456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6.</w:t>
            </w:r>
          </w:p>
        </w:tc>
        <w:tc>
          <w:tcPr>
            <w:tcW w:w="3969" w:type="dxa"/>
            <w:tcBorders>
              <w:top w:val="nil"/>
              <w:left w:val="nil"/>
              <w:bottom w:val="single" w:sz="8" w:space="0" w:color="auto"/>
              <w:right w:val="single" w:sz="8" w:space="0" w:color="auto"/>
            </w:tcBorders>
            <w:vAlign w:val="center"/>
          </w:tcPr>
          <w:p w14:paraId="3D515982"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Izmjene i dopune Urbanističkog plana uređenja Poslovne zone Koprivnički Ivanec</w:t>
            </w:r>
          </w:p>
        </w:tc>
        <w:tc>
          <w:tcPr>
            <w:tcW w:w="1559" w:type="dxa"/>
            <w:tcBorders>
              <w:top w:val="nil"/>
              <w:left w:val="nil"/>
              <w:bottom w:val="single" w:sz="8" w:space="0" w:color="auto"/>
              <w:right w:val="single" w:sz="8" w:space="0" w:color="auto"/>
            </w:tcBorders>
            <w:vAlign w:val="center"/>
          </w:tcPr>
          <w:p w14:paraId="74E3A904"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5CD7E1A8"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18.000,00</w:t>
            </w:r>
          </w:p>
        </w:tc>
        <w:tc>
          <w:tcPr>
            <w:tcW w:w="1701" w:type="dxa"/>
            <w:tcBorders>
              <w:top w:val="nil"/>
              <w:left w:val="single" w:sz="8" w:space="0" w:color="auto"/>
              <w:bottom w:val="single" w:sz="8" w:space="0" w:color="auto"/>
              <w:right w:val="single" w:sz="8" w:space="0" w:color="auto"/>
            </w:tcBorders>
            <w:vAlign w:val="center"/>
          </w:tcPr>
          <w:p w14:paraId="60F8D6C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Koprivnički Ivanec</w:t>
            </w:r>
          </w:p>
        </w:tc>
      </w:tr>
      <w:tr w:rsidR="001E37DF" w:rsidRPr="00DD50FA" w14:paraId="1CB84853"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D73366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7.</w:t>
            </w:r>
          </w:p>
        </w:tc>
        <w:tc>
          <w:tcPr>
            <w:tcW w:w="3969" w:type="dxa"/>
            <w:tcBorders>
              <w:top w:val="nil"/>
              <w:left w:val="nil"/>
              <w:bottom w:val="single" w:sz="8" w:space="0" w:color="auto"/>
              <w:right w:val="single" w:sz="8" w:space="0" w:color="auto"/>
            </w:tcBorders>
            <w:vAlign w:val="center"/>
          </w:tcPr>
          <w:p w14:paraId="37FB3A0E"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 donošenje Prostornog plana uređenja Općine Legrad putem elektroničkog sustava „ePlanovi“</w:t>
            </w:r>
          </w:p>
        </w:tc>
        <w:tc>
          <w:tcPr>
            <w:tcW w:w="1559" w:type="dxa"/>
            <w:tcBorders>
              <w:top w:val="nil"/>
              <w:left w:val="nil"/>
              <w:bottom w:val="single" w:sz="8" w:space="0" w:color="auto"/>
              <w:right w:val="single" w:sz="8" w:space="0" w:color="auto"/>
            </w:tcBorders>
            <w:vAlign w:val="center"/>
          </w:tcPr>
          <w:p w14:paraId="3BEEF1B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58BCEAE0"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628B7FF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Legrad</w:t>
            </w:r>
          </w:p>
        </w:tc>
      </w:tr>
      <w:tr w:rsidR="001E37DF" w:rsidRPr="00DD50FA" w14:paraId="2F9C36E1"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4BB50B9"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8.</w:t>
            </w:r>
          </w:p>
        </w:tc>
        <w:tc>
          <w:tcPr>
            <w:tcW w:w="3969" w:type="dxa"/>
            <w:tcBorders>
              <w:top w:val="nil"/>
              <w:left w:val="nil"/>
              <w:bottom w:val="single" w:sz="8" w:space="0" w:color="auto"/>
              <w:right w:val="single" w:sz="8" w:space="0" w:color="auto"/>
            </w:tcBorders>
            <w:vAlign w:val="center"/>
          </w:tcPr>
          <w:p w14:paraId="0114A85F"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izmjena i dopuna Prostornog plana uređenja Općine Novigrad Podravski putem elektroničkog sustava „ePlanovi“</w:t>
            </w:r>
          </w:p>
        </w:tc>
        <w:tc>
          <w:tcPr>
            <w:tcW w:w="1559" w:type="dxa"/>
            <w:tcBorders>
              <w:top w:val="nil"/>
              <w:left w:val="nil"/>
              <w:bottom w:val="single" w:sz="8" w:space="0" w:color="auto"/>
              <w:right w:val="single" w:sz="8" w:space="0" w:color="auto"/>
            </w:tcBorders>
            <w:vAlign w:val="center"/>
          </w:tcPr>
          <w:p w14:paraId="108BEBD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62E3CB88"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580414B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Novigrad Podravski</w:t>
            </w:r>
          </w:p>
        </w:tc>
      </w:tr>
      <w:tr w:rsidR="001E37DF" w:rsidRPr="00DD50FA" w14:paraId="26ACCDF8"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16F233A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9.</w:t>
            </w:r>
          </w:p>
        </w:tc>
        <w:tc>
          <w:tcPr>
            <w:tcW w:w="3969" w:type="dxa"/>
            <w:tcBorders>
              <w:top w:val="nil"/>
              <w:left w:val="nil"/>
              <w:bottom w:val="single" w:sz="8" w:space="0" w:color="auto"/>
              <w:right w:val="single" w:sz="8" w:space="0" w:color="auto"/>
            </w:tcBorders>
            <w:vAlign w:val="center"/>
          </w:tcPr>
          <w:p w14:paraId="64B34B74"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Koprivnički Bregi putem elektroničkog sustava „ePlanovi“</w:t>
            </w:r>
          </w:p>
        </w:tc>
        <w:tc>
          <w:tcPr>
            <w:tcW w:w="1559" w:type="dxa"/>
            <w:tcBorders>
              <w:top w:val="nil"/>
              <w:left w:val="nil"/>
              <w:bottom w:val="single" w:sz="8" w:space="0" w:color="auto"/>
              <w:right w:val="single" w:sz="8" w:space="0" w:color="auto"/>
            </w:tcBorders>
            <w:vAlign w:val="center"/>
          </w:tcPr>
          <w:p w14:paraId="4D62822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5728B470"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4F9F2073"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Koprivnički Bregi</w:t>
            </w:r>
          </w:p>
        </w:tc>
      </w:tr>
      <w:tr w:rsidR="001E37DF" w:rsidRPr="00DD50FA" w14:paraId="4AAF16F3"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4E66760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10.</w:t>
            </w:r>
          </w:p>
        </w:tc>
        <w:tc>
          <w:tcPr>
            <w:tcW w:w="3969" w:type="dxa"/>
            <w:tcBorders>
              <w:top w:val="nil"/>
              <w:left w:val="nil"/>
              <w:bottom w:val="single" w:sz="8" w:space="0" w:color="auto"/>
              <w:right w:val="single" w:sz="8" w:space="0" w:color="auto"/>
            </w:tcBorders>
            <w:vAlign w:val="center"/>
          </w:tcPr>
          <w:p w14:paraId="4BCB3A65"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Izmjene i dopune Prostornog plana uređenja Općine Sveti Petar Orehovec</w:t>
            </w:r>
          </w:p>
        </w:tc>
        <w:tc>
          <w:tcPr>
            <w:tcW w:w="1559" w:type="dxa"/>
            <w:tcBorders>
              <w:top w:val="nil"/>
              <w:left w:val="nil"/>
              <w:bottom w:val="single" w:sz="8" w:space="0" w:color="auto"/>
              <w:right w:val="single" w:sz="8" w:space="0" w:color="auto"/>
            </w:tcBorders>
            <w:vAlign w:val="center"/>
          </w:tcPr>
          <w:p w14:paraId="4E8C099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6D58919C"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79D710D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Sveti Petar Orehovec</w:t>
            </w:r>
          </w:p>
        </w:tc>
      </w:tr>
      <w:tr w:rsidR="001E37DF" w:rsidRPr="00DD50FA" w14:paraId="03CA78C5"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3A103D5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11.</w:t>
            </w:r>
          </w:p>
        </w:tc>
        <w:tc>
          <w:tcPr>
            <w:tcW w:w="3969" w:type="dxa"/>
            <w:tcBorders>
              <w:top w:val="nil"/>
              <w:left w:val="nil"/>
              <w:bottom w:val="single" w:sz="8" w:space="0" w:color="auto"/>
              <w:right w:val="single" w:sz="8" w:space="0" w:color="auto"/>
            </w:tcBorders>
            <w:vAlign w:val="center"/>
          </w:tcPr>
          <w:p w14:paraId="1C0D52DA"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Prostornog plana uređenja Općine Gola</w:t>
            </w:r>
          </w:p>
        </w:tc>
        <w:tc>
          <w:tcPr>
            <w:tcW w:w="1559" w:type="dxa"/>
            <w:tcBorders>
              <w:top w:val="nil"/>
              <w:left w:val="nil"/>
              <w:bottom w:val="single" w:sz="8" w:space="0" w:color="auto"/>
              <w:right w:val="single" w:sz="8" w:space="0" w:color="auto"/>
            </w:tcBorders>
            <w:vAlign w:val="center"/>
          </w:tcPr>
          <w:p w14:paraId="4630236D"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3FCBE936"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0CBE8394"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Gola</w:t>
            </w:r>
          </w:p>
        </w:tc>
      </w:tr>
      <w:tr w:rsidR="001E37DF" w:rsidRPr="00DD50FA" w14:paraId="1FED1302"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0987D34B"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p>
          <w:p w14:paraId="3AC1A0C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12.</w:t>
            </w:r>
          </w:p>
          <w:p w14:paraId="3142363B"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p>
        </w:tc>
        <w:tc>
          <w:tcPr>
            <w:tcW w:w="3969" w:type="dxa"/>
            <w:tcBorders>
              <w:top w:val="nil"/>
              <w:left w:val="nil"/>
              <w:bottom w:val="single" w:sz="8" w:space="0" w:color="auto"/>
              <w:right w:val="single" w:sz="8" w:space="0" w:color="auto"/>
            </w:tcBorders>
            <w:vAlign w:val="center"/>
          </w:tcPr>
          <w:p w14:paraId="54274EE6"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Podravske Sesvete</w:t>
            </w:r>
          </w:p>
        </w:tc>
        <w:tc>
          <w:tcPr>
            <w:tcW w:w="1559" w:type="dxa"/>
            <w:tcBorders>
              <w:top w:val="nil"/>
              <w:left w:val="nil"/>
              <w:bottom w:val="single" w:sz="8" w:space="0" w:color="auto"/>
              <w:right w:val="single" w:sz="8" w:space="0" w:color="auto"/>
            </w:tcBorders>
            <w:vAlign w:val="center"/>
          </w:tcPr>
          <w:p w14:paraId="030AA2C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4A126762"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3F14E6F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Podravske Sesvete</w:t>
            </w:r>
          </w:p>
        </w:tc>
      </w:tr>
      <w:tr w:rsidR="001E37DF" w:rsidRPr="00DD50FA" w14:paraId="2273F2F0"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4FEEA9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13.</w:t>
            </w:r>
          </w:p>
        </w:tc>
        <w:tc>
          <w:tcPr>
            <w:tcW w:w="3969" w:type="dxa"/>
            <w:tcBorders>
              <w:top w:val="nil"/>
              <w:left w:val="nil"/>
              <w:bottom w:val="single" w:sz="8" w:space="0" w:color="auto"/>
              <w:right w:val="single" w:sz="8" w:space="0" w:color="auto"/>
            </w:tcBorders>
            <w:vAlign w:val="center"/>
          </w:tcPr>
          <w:p w14:paraId="2279E1BF"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Molve putem elektroničkog sustava „ePlanovi“</w:t>
            </w:r>
          </w:p>
        </w:tc>
        <w:tc>
          <w:tcPr>
            <w:tcW w:w="1559" w:type="dxa"/>
            <w:tcBorders>
              <w:top w:val="nil"/>
              <w:left w:val="nil"/>
              <w:bottom w:val="single" w:sz="8" w:space="0" w:color="auto"/>
              <w:right w:val="single" w:sz="8" w:space="0" w:color="auto"/>
            </w:tcBorders>
            <w:vAlign w:val="center"/>
          </w:tcPr>
          <w:p w14:paraId="38D615C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080E78BE"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2E3AD7C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Molve</w:t>
            </w:r>
          </w:p>
        </w:tc>
      </w:tr>
      <w:tr w:rsidR="001E37DF" w:rsidRPr="00DD50FA" w14:paraId="4AD574DB"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53BA34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14.</w:t>
            </w:r>
          </w:p>
        </w:tc>
        <w:tc>
          <w:tcPr>
            <w:tcW w:w="3969" w:type="dxa"/>
            <w:tcBorders>
              <w:top w:val="nil"/>
              <w:left w:val="nil"/>
              <w:bottom w:val="single" w:sz="8" w:space="0" w:color="auto"/>
              <w:right w:val="single" w:sz="8" w:space="0" w:color="auto"/>
            </w:tcBorders>
            <w:vAlign w:val="center"/>
          </w:tcPr>
          <w:p w14:paraId="6BF39635"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nerazvrstane ceste na području općine Hlebine</w:t>
            </w:r>
          </w:p>
        </w:tc>
        <w:tc>
          <w:tcPr>
            <w:tcW w:w="1559" w:type="dxa"/>
            <w:tcBorders>
              <w:top w:val="nil"/>
              <w:left w:val="nil"/>
              <w:bottom w:val="single" w:sz="8" w:space="0" w:color="auto"/>
              <w:right w:val="single" w:sz="8" w:space="0" w:color="auto"/>
            </w:tcBorders>
            <w:vAlign w:val="center"/>
          </w:tcPr>
          <w:p w14:paraId="7AD6710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0FBB0A7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                                                    603.335,00 </w:t>
            </w:r>
          </w:p>
          <w:p w14:paraId="158D2085" w14:textId="77777777" w:rsidR="001E37DF" w:rsidRPr="00F120D7" w:rsidRDefault="001E37DF" w:rsidP="00C37BF6">
            <w:pPr>
              <w:spacing w:after="0" w:line="240" w:lineRule="auto"/>
              <w:jc w:val="right"/>
              <w:rPr>
                <w:rFonts w:ascii="Times New Roman" w:hAnsi="Times New Roman" w:cs="Times New Roman"/>
              </w:rPr>
            </w:pPr>
          </w:p>
        </w:tc>
        <w:tc>
          <w:tcPr>
            <w:tcW w:w="1701" w:type="dxa"/>
            <w:tcBorders>
              <w:top w:val="nil"/>
              <w:left w:val="single" w:sz="8" w:space="0" w:color="auto"/>
              <w:bottom w:val="single" w:sz="8" w:space="0" w:color="auto"/>
              <w:right w:val="single" w:sz="8" w:space="0" w:color="auto"/>
            </w:tcBorders>
            <w:vAlign w:val="center"/>
          </w:tcPr>
          <w:p w14:paraId="62254503"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Hlebine</w:t>
            </w:r>
          </w:p>
        </w:tc>
      </w:tr>
      <w:tr w:rsidR="001E37DF" w:rsidRPr="00DD50FA" w14:paraId="6DBAAAF3"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9F0DD8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15.</w:t>
            </w:r>
          </w:p>
        </w:tc>
        <w:tc>
          <w:tcPr>
            <w:tcW w:w="3969" w:type="dxa"/>
            <w:tcBorders>
              <w:top w:val="nil"/>
              <w:left w:val="nil"/>
              <w:bottom w:val="single" w:sz="8" w:space="0" w:color="auto"/>
              <w:right w:val="single" w:sz="8" w:space="0" w:color="auto"/>
            </w:tcBorders>
            <w:vAlign w:val="center"/>
          </w:tcPr>
          <w:p w14:paraId="28709549"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Dravske ulice u naselju Đelekovec</w:t>
            </w:r>
          </w:p>
        </w:tc>
        <w:tc>
          <w:tcPr>
            <w:tcW w:w="1559" w:type="dxa"/>
            <w:tcBorders>
              <w:top w:val="nil"/>
              <w:left w:val="nil"/>
              <w:bottom w:val="single" w:sz="8" w:space="0" w:color="auto"/>
              <w:right w:val="single" w:sz="8" w:space="0" w:color="auto"/>
            </w:tcBorders>
            <w:vAlign w:val="center"/>
          </w:tcPr>
          <w:p w14:paraId="021BDF6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02550ECA"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560.431,25</w:t>
            </w:r>
          </w:p>
        </w:tc>
        <w:tc>
          <w:tcPr>
            <w:tcW w:w="1701" w:type="dxa"/>
            <w:tcBorders>
              <w:top w:val="nil"/>
              <w:left w:val="single" w:sz="8" w:space="0" w:color="auto"/>
              <w:bottom w:val="single" w:sz="8" w:space="0" w:color="auto"/>
              <w:right w:val="single" w:sz="8" w:space="0" w:color="auto"/>
            </w:tcBorders>
            <w:vAlign w:val="center"/>
          </w:tcPr>
          <w:p w14:paraId="1425159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Đelekovec</w:t>
            </w:r>
          </w:p>
        </w:tc>
      </w:tr>
      <w:tr w:rsidR="001E37DF" w:rsidRPr="00DD50FA" w14:paraId="09C33DA7"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D3D281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16.</w:t>
            </w:r>
          </w:p>
        </w:tc>
        <w:tc>
          <w:tcPr>
            <w:tcW w:w="3969" w:type="dxa"/>
            <w:tcBorders>
              <w:top w:val="nil"/>
              <w:left w:val="nil"/>
              <w:bottom w:val="single" w:sz="8" w:space="0" w:color="auto"/>
              <w:right w:val="single" w:sz="8" w:space="0" w:color="auto"/>
            </w:tcBorders>
            <w:vAlign w:val="center"/>
          </w:tcPr>
          <w:p w14:paraId="1E375C03"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i uređenje ulice Trnovac u naselju Virje</w:t>
            </w:r>
          </w:p>
        </w:tc>
        <w:tc>
          <w:tcPr>
            <w:tcW w:w="1559" w:type="dxa"/>
            <w:tcBorders>
              <w:top w:val="nil"/>
              <w:left w:val="nil"/>
              <w:bottom w:val="single" w:sz="8" w:space="0" w:color="auto"/>
              <w:right w:val="single" w:sz="8" w:space="0" w:color="auto"/>
            </w:tcBorders>
            <w:vAlign w:val="center"/>
          </w:tcPr>
          <w:p w14:paraId="4CD1A34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21719983"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1.313.382,11</w:t>
            </w:r>
          </w:p>
        </w:tc>
        <w:tc>
          <w:tcPr>
            <w:tcW w:w="1701" w:type="dxa"/>
            <w:tcBorders>
              <w:top w:val="nil"/>
              <w:left w:val="single" w:sz="8" w:space="0" w:color="auto"/>
              <w:bottom w:val="single" w:sz="8" w:space="0" w:color="auto"/>
              <w:right w:val="single" w:sz="8" w:space="0" w:color="auto"/>
            </w:tcBorders>
            <w:vAlign w:val="center"/>
          </w:tcPr>
          <w:p w14:paraId="1E1AEB5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Virje</w:t>
            </w:r>
          </w:p>
        </w:tc>
      </w:tr>
      <w:tr w:rsidR="001E37DF" w:rsidRPr="00DD50FA" w14:paraId="5DEB1B7E"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220E95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17.</w:t>
            </w:r>
          </w:p>
        </w:tc>
        <w:tc>
          <w:tcPr>
            <w:tcW w:w="3969" w:type="dxa"/>
            <w:tcBorders>
              <w:top w:val="nil"/>
              <w:left w:val="nil"/>
              <w:bottom w:val="single" w:sz="8" w:space="0" w:color="auto"/>
              <w:right w:val="single" w:sz="8" w:space="0" w:color="auto"/>
            </w:tcBorders>
            <w:vAlign w:val="center"/>
          </w:tcPr>
          <w:p w14:paraId="63A56961"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Rekonstrukcije nerazvrstane ceste lokacija Trepčanska</w:t>
            </w:r>
          </w:p>
        </w:tc>
        <w:tc>
          <w:tcPr>
            <w:tcW w:w="1559" w:type="dxa"/>
            <w:tcBorders>
              <w:top w:val="nil"/>
              <w:left w:val="nil"/>
              <w:bottom w:val="single" w:sz="8" w:space="0" w:color="auto"/>
              <w:right w:val="single" w:sz="8" w:space="0" w:color="auto"/>
            </w:tcBorders>
            <w:vAlign w:val="center"/>
          </w:tcPr>
          <w:p w14:paraId="5BC88AD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3783942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274.953,78</w:t>
            </w:r>
          </w:p>
        </w:tc>
        <w:tc>
          <w:tcPr>
            <w:tcW w:w="1701" w:type="dxa"/>
            <w:tcBorders>
              <w:top w:val="nil"/>
              <w:left w:val="single" w:sz="8" w:space="0" w:color="auto"/>
              <w:bottom w:val="single" w:sz="8" w:space="0" w:color="auto"/>
              <w:right w:val="single" w:sz="8" w:space="0" w:color="auto"/>
            </w:tcBorders>
            <w:vAlign w:val="center"/>
          </w:tcPr>
          <w:p w14:paraId="4DD7768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Novo Virje</w:t>
            </w:r>
          </w:p>
        </w:tc>
      </w:tr>
      <w:tr w:rsidR="001E37DF" w:rsidRPr="00DD50FA" w14:paraId="1A7813E8"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1F8A93A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18.</w:t>
            </w:r>
          </w:p>
        </w:tc>
        <w:tc>
          <w:tcPr>
            <w:tcW w:w="3969" w:type="dxa"/>
            <w:tcBorders>
              <w:top w:val="nil"/>
              <w:left w:val="nil"/>
              <w:bottom w:val="single" w:sz="8" w:space="0" w:color="auto"/>
              <w:right w:val="single" w:sz="8" w:space="0" w:color="auto"/>
            </w:tcBorders>
            <w:vAlign w:val="center"/>
          </w:tcPr>
          <w:p w14:paraId="22504B10"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Izgradnja nerazvrstane ceste u Ferdinandovcu - Dogradnja DIONICE 1 i DIONICE 2</w:t>
            </w:r>
          </w:p>
        </w:tc>
        <w:tc>
          <w:tcPr>
            <w:tcW w:w="1559" w:type="dxa"/>
            <w:tcBorders>
              <w:top w:val="nil"/>
              <w:left w:val="nil"/>
              <w:bottom w:val="single" w:sz="8" w:space="0" w:color="auto"/>
              <w:right w:val="single" w:sz="8" w:space="0" w:color="auto"/>
            </w:tcBorders>
            <w:vAlign w:val="center"/>
          </w:tcPr>
          <w:p w14:paraId="7D5C57E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5AA58133"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321.139,01</w:t>
            </w:r>
          </w:p>
        </w:tc>
        <w:tc>
          <w:tcPr>
            <w:tcW w:w="1701" w:type="dxa"/>
            <w:tcBorders>
              <w:top w:val="nil"/>
              <w:left w:val="single" w:sz="8" w:space="0" w:color="auto"/>
              <w:bottom w:val="single" w:sz="8" w:space="0" w:color="auto"/>
              <w:right w:val="single" w:sz="8" w:space="0" w:color="auto"/>
            </w:tcBorders>
            <w:vAlign w:val="center"/>
          </w:tcPr>
          <w:p w14:paraId="1A5A6F9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Ferdinandovac</w:t>
            </w:r>
          </w:p>
        </w:tc>
      </w:tr>
      <w:tr w:rsidR="001E37DF" w:rsidRPr="00DD50FA" w14:paraId="4D140F6E"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0BA05E29"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19.</w:t>
            </w:r>
          </w:p>
        </w:tc>
        <w:tc>
          <w:tcPr>
            <w:tcW w:w="3969" w:type="dxa"/>
            <w:tcBorders>
              <w:top w:val="nil"/>
              <w:left w:val="nil"/>
              <w:bottom w:val="single" w:sz="8" w:space="0" w:color="auto"/>
              <w:right w:val="single" w:sz="8" w:space="0" w:color="auto"/>
            </w:tcBorders>
            <w:vAlign w:val="center"/>
          </w:tcPr>
          <w:p w14:paraId="22490B2F"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Modernizacija prometnice i izgradnja pješačke staze na Trgu kralja Tomislava u Podravskim Sesvetama</w:t>
            </w:r>
          </w:p>
        </w:tc>
        <w:tc>
          <w:tcPr>
            <w:tcW w:w="1559" w:type="dxa"/>
            <w:tcBorders>
              <w:top w:val="nil"/>
              <w:left w:val="nil"/>
              <w:bottom w:val="single" w:sz="8" w:space="0" w:color="auto"/>
              <w:right w:val="single" w:sz="8" w:space="0" w:color="auto"/>
            </w:tcBorders>
            <w:vAlign w:val="center"/>
          </w:tcPr>
          <w:p w14:paraId="673EDE1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71DA23C4"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289.250,00 </w:t>
            </w:r>
          </w:p>
        </w:tc>
        <w:tc>
          <w:tcPr>
            <w:tcW w:w="1701" w:type="dxa"/>
            <w:tcBorders>
              <w:top w:val="nil"/>
              <w:left w:val="single" w:sz="8" w:space="0" w:color="auto"/>
              <w:bottom w:val="single" w:sz="8" w:space="0" w:color="auto"/>
              <w:right w:val="single" w:sz="8" w:space="0" w:color="auto"/>
            </w:tcBorders>
            <w:vAlign w:val="center"/>
          </w:tcPr>
          <w:p w14:paraId="589AFE2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Podravske Sesvete</w:t>
            </w:r>
          </w:p>
        </w:tc>
      </w:tr>
      <w:tr w:rsidR="001E37DF" w:rsidRPr="00DD50FA" w14:paraId="5A207242"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15A0C7D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20.</w:t>
            </w:r>
          </w:p>
        </w:tc>
        <w:tc>
          <w:tcPr>
            <w:tcW w:w="3969" w:type="dxa"/>
            <w:tcBorders>
              <w:top w:val="nil"/>
              <w:left w:val="nil"/>
              <w:bottom w:val="single" w:sz="8" w:space="0" w:color="auto"/>
              <w:right w:val="single" w:sz="8" w:space="0" w:color="auto"/>
            </w:tcBorders>
            <w:vAlign w:val="center"/>
          </w:tcPr>
          <w:p w14:paraId="541ED3D3"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Ul. Vladimira Nazora u naselju Ždala</w:t>
            </w:r>
          </w:p>
        </w:tc>
        <w:tc>
          <w:tcPr>
            <w:tcW w:w="1559" w:type="dxa"/>
            <w:tcBorders>
              <w:top w:val="nil"/>
              <w:left w:val="nil"/>
              <w:bottom w:val="single" w:sz="8" w:space="0" w:color="auto"/>
              <w:right w:val="single" w:sz="8" w:space="0" w:color="auto"/>
            </w:tcBorders>
            <w:vAlign w:val="center"/>
          </w:tcPr>
          <w:p w14:paraId="3DB12E4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51483CF8"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                                                    584.111,25 </w:t>
            </w:r>
          </w:p>
          <w:p w14:paraId="5B57C943" w14:textId="77777777" w:rsidR="001E37DF" w:rsidRPr="00F120D7" w:rsidRDefault="001E37DF" w:rsidP="00C37BF6">
            <w:pPr>
              <w:spacing w:after="0" w:line="240" w:lineRule="auto"/>
              <w:jc w:val="right"/>
              <w:rPr>
                <w:rFonts w:ascii="Times New Roman" w:hAnsi="Times New Roman" w:cs="Times New Roman"/>
              </w:rPr>
            </w:pPr>
          </w:p>
        </w:tc>
        <w:tc>
          <w:tcPr>
            <w:tcW w:w="1701" w:type="dxa"/>
            <w:tcBorders>
              <w:top w:val="nil"/>
              <w:left w:val="single" w:sz="8" w:space="0" w:color="auto"/>
              <w:bottom w:val="single" w:sz="8" w:space="0" w:color="auto"/>
              <w:right w:val="single" w:sz="8" w:space="0" w:color="auto"/>
            </w:tcBorders>
            <w:vAlign w:val="center"/>
          </w:tcPr>
          <w:p w14:paraId="51D1010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Gola</w:t>
            </w:r>
          </w:p>
        </w:tc>
      </w:tr>
      <w:tr w:rsidR="001E37DF" w:rsidRPr="00DD50FA" w14:paraId="0D8FAE11"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9CC2139"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21.</w:t>
            </w:r>
          </w:p>
        </w:tc>
        <w:tc>
          <w:tcPr>
            <w:tcW w:w="3969" w:type="dxa"/>
            <w:tcBorders>
              <w:top w:val="nil"/>
              <w:left w:val="nil"/>
              <w:bottom w:val="single" w:sz="8" w:space="0" w:color="auto"/>
              <w:right w:val="single" w:sz="8" w:space="0" w:color="auto"/>
            </w:tcBorders>
            <w:vAlign w:val="center"/>
          </w:tcPr>
          <w:p w14:paraId="172359FB"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nerazvrstane ceste i izgradnja nogostupa u općini Sveti Petar Orehovec</w:t>
            </w:r>
          </w:p>
        </w:tc>
        <w:tc>
          <w:tcPr>
            <w:tcW w:w="1559" w:type="dxa"/>
            <w:tcBorders>
              <w:top w:val="nil"/>
              <w:left w:val="nil"/>
              <w:bottom w:val="single" w:sz="8" w:space="0" w:color="auto"/>
              <w:right w:val="single" w:sz="8" w:space="0" w:color="auto"/>
            </w:tcBorders>
            <w:vAlign w:val="center"/>
          </w:tcPr>
          <w:p w14:paraId="423FB69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214CB8D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                                                    973.772,50 </w:t>
            </w:r>
          </w:p>
          <w:p w14:paraId="175BDEDC" w14:textId="77777777" w:rsidR="001E37DF" w:rsidRPr="00F120D7" w:rsidRDefault="001E37DF" w:rsidP="00C37BF6">
            <w:pPr>
              <w:spacing w:after="0" w:line="240" w:lineRule="auto"/>
              <w:jc w:val="right"/>
              <w:rPr>
                <w:rFonts w:ascii="Times New Roman" w:hAnsi="Times New Roman" w:cs="Times New Roman"/>
              </w:rPr>
            </w:pPr>
          </w:p>
        </w:tc>
        <w:tc>
          <w:tcPr>
            <w:tcW w:w="1701" w:type="dxa"/>
            <w:tcBorders>
              <w:top w:val="nil"/>
              <w:left w:val="single" w:sz="8" w:space="0" w:color="auto"/>
              <w:bottom w:val="single" w:sz="8" w:space="0" w:color="auto"/>
              <w:right w:val="single" w:sz="8" w:space="0" w:color="auto"/>
            </w:tcBorders>
            <w:vAlign w:val="center"/>
          </w:tcPr>
          <w:p w14:paraId="3A814DB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Sveti Petar Orehovec</w:t>
            </w:r>
          </w:p>
        </w:tc>
      </w:tr>
      <w:tr w:rsidR="001E37DF" w:rsidRPr="00DD50FA" w14:paraId="52BB098E"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C157F5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lastRenderedPageBreak/>
              <w:t>22.</w:t>
            </w:r>
          </w:p>
        </w:tc>
        <w:tc>
          <w:tcPr>
            <w:tcW w:w="3969" w:type="dxa"/>
            <w:tcBorders>
              <w:top w:val="nil"/>
              <w:left w:val="nil"/>
              <w:bottom w:val="single" w:sz="8" w:space="0" w:color="auto"/>
              <w:right w:val="single" w:sz="8" w:space="0" w:color="auto"/>
            </w:tcBorders>
            <w:vAlign w:val="center"/>
          </w:tcPr>
          <w:p w14:paraId="3FC228A8"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nerazvrstane ceste NC 25 Pavlićeva ulica – Hrsovo</w:t>
            </w:r>
          </w:p>
        </w:tc>
        <w:tc>
          <w:tcPr>
            <w:tcW w:w="1559" w:type="dxa"/>
            <w:tcBorders>
              <w:top w:val="nil"/>
              <w:left w:val="nil"/>
              <w:bottom w:val="single" w:sz="8" w:space="0" w:color="auto"/>
              <w:right w:val="single" w:sz="8" w:space="0" w:color="auto"/>
            </w:tcBorders>
            <w:vAlign w:val="center"/>
          </w:tcPr>
          <w:p w14:paraId="169E93E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5C9C6A04"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                                                    371.524,25 </w:t>
            </w:r>
          </w:p>
          <w:p w14:paraId="779C13A3" w14:textId="77777777" w:rsidR="001E37DF" w:rsidRPr="00F120D7" w:rsidRDefault="001E37DF" w:rsidP="00C37BF6">
            <w:pPr>
              <w:spacing w:after="0" w:line="240" w:lineRule="auto"/>
              <w:jc w:val="right"/>
              <w:rPr>
                <w:rFonts w:ascii="Times New Roman" w:hAnsi="Times New Roman" w:cs="Times New Roman"/>
              </w:rPr>
            </w:pPr>
          </w:p>
        </w:tc>
        <w:tc>
          <w:tcPr>
            <w:tcW w:w="1701" w:type="dxa"/>
            <w:tcBorders>
              <w:top w:val="nil"/>
              <w:left w:val="single" w:sz="8" w:space="0" w:color="auto"/>
              <w:bottom w:val="single" w:sz="8" w:space="0" w:color="auto"/>
              <w:right w:val="single" w:sz="8" w:space="0" w:color="auto"/>
            </w:tcBorders>
            <w:vAlign w:val="center"/>
          </w:tcPr>
          <w:p w14:paraId="39AA3B8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Sveti Ivan Žabno</w:t>
            </w:r>
          </w:p>
        </w:tc>
      </w:tr>
      <w:tr w:rsidR="001E37DF" w:rsidRPr="00DD50FA" w14:paraId="2382ED12"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C6A600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23.</w:t>
            </w:r>
          </w:p>
        </w:tc>
        <w:tc>
          <w:tcPr>
            <w:tcW w:w="3969" w:type="dxa"/>
            <w:tcBorders>
              <w:top w:val="nil"/>
              <w:left w:val="nil"/>
              <w:bottom w:val="single" w:sz="8" w:space="0" w:color="auto"/>
              <w:right w:val="single" w:sz="8" w:space="0" w:color="auto"/>
            </w:tcBorders>
            <w:vAlign w:val="center"/>
          </w:tcPr>
          <w:p w14:paraId="47F3E043"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Modernizacija nerazvrstane ceste Botinovec - Grbaševec - ŽC 2081</w:t>
            </w:r>
          </w:p>
        </w:tc>
        <w:tc>
          <w:tcPr>
            <w:tcW w:w="1559" w:type="dxa"/>
            <w:tcBorders>
              <w:top w:val="nil"/>
              <w:left w:val="nil"/>
              <w:bottom w:val="single" w:sz="8" w:space="0" w:color="auto"/>
              <w:right w:val="single" w:sz="8" w:space="0" w:color="auto"/>
            </w:tcBorders>
            <w:vAlign w:val="center"/>
          </w:tcPr>
          <w:p w14:paraId="71EF48D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03C9A25E"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1.284.370,00</w:t>
            </w:r>
          </w:p>
        </w:tc>
        <w:tc>
          <w:tcPr>
            <w:tcW w:w="1701" w:type="dxa"/>
            <w:tcBorders>
              <w:top w:val="nil"/>
              <w:left w:val="single" w:sz="8" w:space="0" w:color="auto"/>
              <w:bottom w:val="single" w:sz="8" w:space="0" w:color="auto"/>
              <w:right w:val="single" w:sz="8" w:space="0" w:color="auto"/>
            </w:tcBorders>
            <w:vAlign w:val="center"/>
          </w:tcPr>
          <w:p w14:paraId="6966B03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Koprivnički Ivanec</w:t>
            </w:r>
          </w:p>
        </w:tc>
      </w:tr>
      <w:tr w:rsidR="001E37DF" w:rsidRPr="00DD50FA" w14:paraId="113D7A16"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0CDA32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24.</w:t>
            </w:r>
          </w:p>
        </w:tc>
        <w:tc>
          <w:tcPr>
            <w:tcW w:w="3969" w:type="dxa"/>
            <w:tcBorders>
              <w:top w:val="nil"/>
              <w:left w:val="nil"/>
              <w:bottom w:val="single" w:sz="8" w:space="0" w:color="auto"/>
              <w:right w:val="single" w:sz="8" w:space="0" w:color="auto"/>
            </w:tcBorders>
            <w:vAlign w:val="center"/>
          </w:tcPr>
          <w:p w14:paraId="1BF80FCB"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nerazvrstane ceste Lazine na Šoderici</w:t>
            </w:r>
          </w:p>
        </w:tc>
        <w:tc>
          <w:tcPr>
            <w:tcW w:w="1559" w:type="dxa"/>
            <w:tcBorders>
              <w:top w:val="nil"/>
              <w:left w:val="nil"/>
              <w:bottom w:val="single" w:sz="8" w:space="0" w:color="auto"/>
              <w:right w:val="single" w:sz="8" w:space="0" w:color="auto"/>
            </w:tcBorders>
            <w:vAlign w:val="center"/>
          </w:tcPr>
          <w:p w14:paraId="16829A5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2B66D86A"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                                                    564.635,00 </w:t>
            </w:r>
          </w:p>
          <w:p w14:paraId="23891CD2" w14:textId="77777777" w:rsidR="001E37DF" w:rsidRPr="00F120D7" w:rsidRDefault="001E37DF" w:rsidP="00C37BF6">
            <w:pPr>
              <w:spacing w:after="0" w:line="240" w:lineRule="auto"/>
              <w:jc w:val="right"/>
              <w:rPr>
                <w:rFonts w:ascii="Times New Roman" w:hAnsi="Times New Roman" w:cs="Times New Roman"/>
              </w:rPr>
            </w:pPr>
          </w:p>
        </w:tc>
        <w:tc>
          <w:tcPr>
            <w:tcW w:w="1701" w:type="dxa"/>
            <w:tcBorders>
              <w:top w:val="nil"/>
              <w:left w:val="single" w:sz="8" w:space="0" w:color="auto"/>
              <w:bottom w:val="single" w:sz="8" w:space="0" w:color="auto"/>
              <w:right w:val="single" w:sz="8" w:space="0" w:color="auto"/>
            </w:tcBorders>
            <w:vAlign w:val="center"/>
          </w:tcPr>
          <w:p w14:paraId="5E23749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Legrad</w:t>
            </w:r>
          </w:p>
        </w:tc>
      </w:tr>
      <w:tr w:rsidR="001E37DF" w:rsidRPr="00DD50FA" w14:paraId="26CB3C15"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E8169AB"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25.</w:t>
            </w:r>
          </w:p>
        </w:tc>
        <w:tc>
          <w:tcPr>
            <w:tcW w:w="3969" w:type="dxa"/>
            <w:tcBorders>
              <w:top w:val="nil"/>
              <w:left w:val="nil"/>
              <w:bottom w:val="single" w:sz="8" w:space="0" w:color="auto"/>
              <w:right w:val="single" w:sz="8" w:space="0" w:color="auto"/>
            </w:tcBorders>
            <w:vAlign w:val="center"/>
          </w:tcPr>
          <w:p w14:paraId="45BFB07E" w14:textId="77777777" w:rsidR="001E37DF" w:rsidRPr="00F120D7" w:rsidRDefault="001E37DF" w:rsidP="00C37BF6">
            <w:pPr>
              <w:autoSpaceDE w:val="0"/>
              <w:autoSpaceDN w:val="0"/>
              <w:adjustRightInd w:val="0"/>
              <w:spacing w:after="0" w:line="240" w:lineRule="auto"/>
              <w:rPr>
                <w:rFonts w:ascii="Times New Roman" w:hAnsi="Times New Roman" w:cs="Times New Roman"/>
                <w:color w:val="FF0000"/>
              </w:rPr>
            </w:pPr>
            <w:r w:rsidRPr="00F120D7">
              <w:rPr>
                <w:rFonts w:ascii="Times New Roman" w:hAnsi="Times New Roman" w:cs="Times New Roman"/>
              </w:rPr>
              <w:t>Nerazvrstana cesta Plavšinac - Delovi</w:t>
            </w:r>
          </w:p>
        </w:tc>
        <w:tc>
          <w:tcPr>
            <w:tcW w:w="1559" w:type="dxa"/>
            <w:tcBorders>
              <w:top w:val="nil"/>
              <w:left w:val="nil"/>
              <w:bottom w:val="single" w:sz="8" w:space="0" w:color="auto"/>
              <w:right w:val="single" w:sz="8" w:space="0" w:color="auto"/>
            </w:tcBorders>
            <w:vAlign w:val="center"/>
          </w:tcPr>
          <w:p w14:paraId="65E2B6D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458DA44F"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1.761.111,21</w:t>
            </w:r>
          </w:p>
        </w:tc>
        <w:tc>
          <w:tcPr>
            <w:tcW w:w="1701" w:type="dxa"/>
            <w:tcBorders>
              <w:top w:val="nil"/>
              <w:left w:val="single" w:sz="8" w:space="0" w:color="auto"/>
              <w:bottom w:val="single" w:sz="8" w:space="0" w:color="auto"/>
              <w:right w:val="single" w:sz="8" w:space="0" w:color="auto"/>
            </w:tcBorders>
            <w:vAlign w:val="center"/>
          </w:tcPr>
          <w:p w14:paraId="65E53FB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Novigrad Podravski</w:t>
            </w:r>
          </w:p>
        </w:tc>
      </w:tr>
      <w:tr w:rsidR="001E37DF" w:rsidRPr="00DD50FA" w14:paraId="10FA27A7"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DCCC639"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26.</w:t>
            </w:r>
          </w:p>
        </w:tc>
        <w:tc>
          <w:tcPr>
            <w:tcW w:w="3969" w:type="dxa"/>
            <w:tcBorders>
              <w:top w:val="nil"/>
              <w:left w:val="nil"/>
              <w:bottom w:val="single" w:sz="8" w:space="0" w:color="auto"/>
              <w:right w:val="single" w:sz="8" w:space="0" w:color="auto"/>
            </w:tcBorders>
            <w:vAlign w:val="center"/>
          </w:tcPr>
          <w:p w14:paraId="13DD5552"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Izgradnja prometnice Peteranec - Herešin i izgradnja pješačke staze u Ulici Matije Gupca</w:t>
            </w:r>
          </w:p>
        </w:tc>
        <w:tc>
          <w:tcPr>
            <w:tcW w:w="1559" w:type="dxa"/>
            <w:tcBorders>
              <w:top w:val="nil"/>
              <w:left w:val="nil"/>
              <w:bottom w:val="single" w:sz="8" w:space="0" w:color="auto"/>
              <w:right w:val="single" w:sz="8" w:space="0" w:color="auto"/>
            </w:tcBorders>
            <w:vAlign w:val="center"/>
          </w:tcPr>
          <w:p w14:paraId="2D1EF1BF"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172D06C1"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293.312,50</w:t>
            </w:r>
          </w:p>
        </w:tc>
        <w:tc>
          <w:tcPr>
            <w:tcW w:w="1701" w:type="dxa"/>
            <w:tcBorders>
              <w:top w:val="nil"/>
              <w:left w:val="single" w:sz="8" w:space="0" w:color="auto"/>
              <w:bottom w:val="single" w:sz="8" w:space="0" w:color="auto"/>
              <w:right w:val="single" w:sz="8" w:space="0" w:color="auto"/>
            </w:tcBorders>
            <w:vAlign w:val="center"/>
          </w:tcPr>
          <w:p w14:paraId="3568CFD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Peteranec</w:t>
            </w:r>
          </w:p>
        </w:tc>
      </w:tr>
      <w:tr w:rsidR="001E37DF" w:rsidRPr="00DD50FA" w14:paraId="5950E77C"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7CFDC2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27.</w:t>
            </w:r>
          </w:p>
        </w:tc>
        <w:tc>
          <w:tcPr>
            <w:tcW w:w="3969" w:type="dxa"/>
            <w:tcBorders>
              <w:top w:val="nil"/>
              <w:left w:val="nil"/>
              <w:bottom w:val="single" w:sz="8" w:space="0" w:color="auto"/>
              <w:right w:val="single" w:sz="8" w:space="0" w:color="auto"/>
            </w:tcBorders>
            <w:vAlign w:val="center"/>
          </w:tcPr>
          <w:p w14:paraId="2C3D9DA2"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nerazvrstane ceste NC-10 Dropkovec – Bogačevo Riječko</w:t>
            </w:r>
          </w:p>
        </w:tc>
        <w:tc>
          <w:tcPr>
            <w:tcW w:w="1559" w:type="dxa"/>
            <w:tcBorders>
              <w:top w:val="nil"/>
              <w:left w:val="nil"/>
              <w:bottom w:val="single" w:sz="8" w:space="0" w:color="auto"/>
              <w:right w:val="single" w:sz="8" w:space="0" w:color="auto"/>
            </w:tcBorders>
            <w:vAlign w:val="center"/>
          </w:tcPr>
          <w:p w14:paraId="52D5250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EPFRR</w:t>
            </w:r>
          </w:p>
        </w:tc>
        <w:tc>
          <w:tcPr>
            <w:tcW w:w="1701" w:type="dxa"/>
            <w:tcBorders>
              <w:top w:val="nil"/>
              <w:left w:val="single" w:sz="8" w:space="0" w:color="auto"/>
              <w:bottom w:val="single" w:sz="8" w:space="0" w:color="auto"/>
              <w:right w:val="single" w:sz="8" w:space="0" w:color="auto"/>
            </w:tcBorders>
            <w:vAlign w:val="center"/>
          </w:tcPr>
          <w:p w14:paraId="55FB04FD"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525.750,00 </w:t>
            </w:r>
          </w:p>
        </w:tc>
        <w:tc>
          <w:tcPr>
            <w:tcW w:w="1701" w:type="dxa"/>
            <w:tcBorders>
              <w:top w:val="nil"/>
              <w:left w:val="single" w:sz="8" w:space="0" w:color="auto"/>
              <w:bottom w:val="single" w:sz="8" w:space="0" w:color="auto"/>
              <w:right w:val="single" w:sz="8" w:space="0" w:color="auto"/>
            </w:tcBorders>
            <w:vAlign w:val="center"/>
          </w:tcPr>
          <w:p w14:paraId="19FB50A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Gornja Rijeka</w:t>
            </w:r>
          </w:p>
        </w:tc>
      </w:tr>
      <w:tr w:rsidR="001E37DF" w:rsidRPr="00DD50FA" w14:paraId="7A1442B3"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0FCD665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28.</w:t>
            </w:r>
          </w:p>
        </w:tc>
        <w:tc>
          <w:tcPr>
            <w:tcW w:w="3969" w:type="dxa"/>
            <w:tcBorders>
              <w:top w:val="nil"/>
              <w:left w:val="nil"/>
              <w:bottom w:val="single" w:sz="8" w:space="0" w:color="auto"/>
              <w:right w:val="single" w:sz="8" w:space="0" w:color="auto"/>
            </w:tcBorders>
            <w:vAlign w:val="center"/>
          </w:tcPr>
          <w:p w14:paraId="55DB55AB"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Obnova Doma kulture Pajo Kanižaj u Đelekovcu</w:t>
            </w:r>
          </w:p>
        </w:tc>
        <w:tc>
          <w:tcPr>
            <w:tcW w:w="1559" w:type="dxa"/>
            <w:tcBorders>
              <w:top w:val="nil"/>
              <w:left w:val="nil"/>
              <w:bottom w:val="single" w:sz="8" w:space="0" w:color="auto"/>
              <w:right w:val="single" w:sz="8" w:space="0" w:color="auto"/>
            </w:tcBorders>
            <w:vAlign w:val="center"/>
          </w:tcPr>
          <w:p w14:paraId="5A7260F4"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70FE56B1"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2.610.693,98 </w:t>
            </w:r>
          </w:p>
        </w:tc>
        <w:tc>
          <w:tcPr>
            <w:tcW w:w="1701" w:type="dxa"/>
            <w:tcBorders>
              <w:top w:val="nil"/>
              <w:left w:val="single" w:sz="8" w:space="0" w:color="auto"/>
              <w:bottom w:val="single" w:sz="8" w:space="0" w:color="auto"/>
              <w:right w:val="single" w:sz="8" w:space="0" w:color="auto"/>
            </w:tcBorders>
            <w:vAlign w:val="center"/>
          </w:tcPr>
          <w:p w14:paraId="6850AD4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Đelekovec</w:t>
            </w:r>
          </w:p>
        </w:tc>
      </w:tr>
      <w:tr w:rsidR="001E37DF" w:rsidRPr="00DD50FA" w14:paraId="46602F39"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64FB8E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29.</w:t>
            </w:r>
          </w:p>
        </w:tc>
        <w:tc>
          <w:tcPr>
            <w:tcW w:w="3969" w:type="dxa"/>
            <w:tcBorders>
              <w:top w:val="nil"/>
              <w:left w:val="nil"/>
              <w:bottom w:val="single" w:sz="8" w:space="0" w:color="auto"/>
              <w:right w:val="single" w:sz="8" w:space="0" w:color="auto"/>
            </w:tcBorders>
            <w:vAlign w:val="center"/>
          </w:tcPr>
          <w:p w14:paraId="6B762527"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socijalnog plana Koprivničko-križevačke županije</w:t>
            </w:r>
          </w:p>
        </w:tc>
        <w:tc>
          <w:tcPr>
            <w:tcW w:w="1559" w:type="dxa"/>
            <w:tcBorders>
              <w:top w:val="nil"/>
              <w:left w:val="nil"/>
              <w:bottom w:val="single" w:sz="8" w:space="0" w:color="auto"/>
              <w:right w:val="single" w:sz="8" w:space="0" w:color="auto"/>
            </w:tcBorders>
            <w:vAlign w:val="center"/>
          </w:tcPr>
          <w:p w14:paraId="2E7C26E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ESF+</w:t>
            </w:r>
          </w:p>
        </w:tc>
        <w:tc>
          <w:tcPr>
            <w:tcW w:w="1701" w:type="dxa"/>
            <w:tcBorders>
              <w:top w:val="nil"/>
              <w:left w:val="single" w:sz="8" w:space="0" w:color="auto"/>
              <w:bottom w:val="single" w:sz="8" w:space="0" w:color="auto"/>
              <w:right w:val="single" w:sz="8" w:space="0" w:color="auto"/>
            </w:tcBorders>
            <w:vAlign w:val="center"/>
          </w:tcPr>
          <w:p w14:paraId="6BED4EBF"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71.782,98 </w:t>
            </w:r>
          </w:p>
        </w:tc>
        <w:tc>
          <w:tcPr>
            <w:tcW w:w="1701" w:type="dxa"/>
            <w:tcBorders>
              <w:top w:val="nil"/>
              <w:left w:val="single" w:sz="8" w:space="0" w:color="auto"/>
              <w:bottom w:val="single" w:sz="8" w:space="0" w:color="auto"/>
              <w:right w:val="single" w:sz="8" w:space="0" w:color="auto"/>
            </w:tcBorders>
            <w:vAlign w:val="center"/>
          </w:tcPr>
          <w:p w14:paraId="09F2E5A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Koprivničko-križevačka županija</w:t>
            </w:r>
          </w:p>
        </w:tc>
      </w:tr>
      <w:tr w:rsidR="001E37DF" w:rsidRPr="00DD50FA" w14:paraId="12D94594"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300807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30.</w:t>
            </w:r>
          </w:p>
        </w:tc>
        <w:tc>
          <w:tcPr>
            <w:tcW w:w="3969" w:type="dxa"/>
            <w:tcBorders>
              <w:top w:val="nil"/>
              <w:left w:val="nil"/>
              <w:bottom w:val="single" w:sz="8" w:space="0" w:color="auto"/>
              <w:right w:val="single" w:sz="8" w:space="0" w:color="auto"/>
            </w:tcBorders>
            <w:vAlign w:val="center"/>
          </w:tcPr>
          <w:p w14:paraId="754D1823"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Specijalističko usavršavanje medicinskih sestara i tehničara u djelatnosti hitne medicine Zavoda za hitnu medicinu Koprivničko-križevačke županije 2</w:t>
            </w:r>
          </w:p>
        </w:tc>
        <w:tc>
          <w:tcPr>
            <w:tcW w:w="1559" w:type="dxa"/>
            <w:tcBorders>
              <w:top w:val="nil"/>
              <w:left w:val="nil"/>
              <w:bottom w:val="single" w:sz="8" w:space="0" w:color="auto"/>
              <w:right w:val="single" w:sz="8" w:space="0" w:color="auto"/>
            </w:tcBorders>
            <w:vAlign w:val="center"/>
          </w:tcPr>
          <w:p w14:paraId="29A3FED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1375196A"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186.304,97 </w:t>
            </w:r>
          </w:p>
        </w:tc>
        <w:tc>
          <w:tcPr>
            <w:tcW w:w="1701" w:type="dxa"/>
            <w:tcBorders>
              <w:top w:val="nil"/>
              <w:left w:val="single" w:sz="8" w:space="0" w:color="auto"/>
              <w:bottom w:val="single" w:sz="8" w:space="0" w:color="auto"/>
              <w:right w:val="single" w:sz="8" w:space="0" w:color="auto"/>
            </w:tcBorders>
            <w:vAlign w:val="center"/>
          </w:tcPr>
          <w:p w14:paraId="0E5CA2A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Zavod za hitnu medicinu Koprivničko-križevačke županije</w:t>
            </w:r>
          </w:p>
        </w:tc>
      </w:tr>
      <w:tr w:rsidR="001E37DF" w:rsidRPr="00DD50FA" w14:paraId="6E81FD9C"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344EEED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31.</w:t>
            </w:r>
          </w:p>
        </w:tc>
        <w:tc>
          <w:tcPr>
            <w:tcW w:w="3969" w:type="dxa"/>
            <w:tcBorders>
              <w:top w:val="nil"/>
              <w:left w:val="nil"/>
              <w:bottom w:val="single" w:sz="8" w:space="0" w:color="auto"/>
              <w:right w:val="single" w:sz="8" w:space="0" w:color="auto"/>
            </w:tcBorders>
            <w:vAlign w:val="center"/>
          </w:tcPr>
          <w:p w14:paraId="532EAC04"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Reciklažno dvorište Sveti Ivan Žabno</w:t>
            </w:r>
          </w:p>
        </w:tc>
        <w:tc>
          <w:tcPr>
            <w:tcW w:w="1559" w:type="dxa"/>
            <w:tcBorders>
              <w:top w:val="nil"/>
              <w:left w:val="nil"/>
              <w:bottom w:val="single" w:sz="8" w:space="0" w:color="auto"/>
              <w:right w:val="single" w:sz="8" w:space="0" w:color="auto"/>
            </w:tcBorders>
            <w:vAlign w:val="center"/>
          </w:tcPr>
          <w:p w14:paraId="4089E87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05A84DB1"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861.292,50 </w:t>
            </w:r>
          </w:p>
        </w:tc>
        <w:tc>
          <w:tcPr>
            <w:tcW w:w="1701" w:type="dxa"/>
            <w:tcBorders>
              <w:top w:val="nil"/>
              <w:left w:val="single" w:sz="8" w:space="0" w:color="auto"/>
              <w:bottom w:val="single" w:sz="8" w:space="0" w:color="auto"/>
              <w:right w:val="single" w:sz="8" w:space="0" w:color="auto"/>
            </w:tcBorders>
            <w:vAlign w:val="center"/>
          </w:tcPr>
          <w:p w14:paraId="24B929B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Sveti Ivan Žabno</w:t>
            </w:r>
          </w:p>
        </w:tc>
      </w:tr>
      <w:tr w:rsidR="001E37DF" w:rsidRPr="00DD50FA" w14:paraId="4BE40509"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0BEB495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32.</w:t>
            </w:r>
          </w:p>
        </w:tc>
        <w:tc>
          <w:tcPr>
            <w:tcW w:w="3969" w:type="dxa"/>
            <w:tcBorders>
              <w:top w:val="nil"/>
              <w:left w:val="nil"/>
              <w:bottom w:val="single" w:sz="8" w:space="0" w:color="auto"/>
              <w:right w:val="single" w:sz="8" w:space="0" w:color="auto"/>
            </w:tcBorders>
            <w:vAlign w:val="center"/>
          </w:tcPr>
          <w:p w14:paraId="5C69C8F3"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Izgradnja biciklističko-pješačke staze u naselju Kunovec (ITU)</w:t>
            </w:r>
          </w:p>
        </w:tc>
        <w:tc>
          <w:tcPr>
            <w:tcW w:w="1559" w:type="dxa"/>
            <w:tcBorders>
              <w:top w:val="nil"/>
              <w:left w:val="nil"/>
              <w:bottom w:val="single" w:sz="8" w:space="0" w:color="auto"/>
              <w:right w:val="single" w:sz="8" w:space="0" w:color="auto"/>
            </w:tcBorders>
            <w:vAlign w:val="center"/>
          </w:tcPr>
          <w:p w14:paraId="614F0883"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30067B8F"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705.880,00 </w:t>
            </w:r>
          </w:p>
        </w:tc>
        <w:tc>
          <w:tcPr>
            <w:tcW w:w="1701" w:type="dxa"/>
            <w:tcBorders>
              <w:top w:val="nil"/>
              <w:left w:val="single" w:sz="8" w:space="0" w:color="auto"/>
              <w:bottom w:val="single" w:sz="8" w:space="0" w:color="auto"/>
              <w:right w:val="single" w:sz="8" w:space="0" w:color="auto"/>
            </w:tcBorders>
            <w:vAlign w:val="center"/>
          </w:tcPr>
          <w:p w14:paraId="03BEDAF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Koprivnički Ivanec</w:t>
            </w:r>
          </w:p>
        </w:tc>
      </w:tr>
      <w:tr w:rsidR="001E37DF" w:rsidRPr="00DD50FA" w14:paraId="0E0B2782"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05A1FE0B"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33.</w:t>
            </w:r>
          </w:p>
        </w:tc>
        <w:tc>
          <w:tcPr>
            <w:tcW w:w="3969" w:type="dxa"/>
            <w:tcBorders>
              <w:top w:val="nil"/>
              <w:left w:val="nil"/>
              <w:bottom w:val="single" w:sz="8" w:space="0" w:color="auto"/>
              <w:right w:val="single" w:sz="8" w:space="0" w:color="auto"/>
            </w:tcBorders>
            <w:vAlign w:val="center"/>
          </w:tcPr>
          <w:p w14:paraId="329BA252"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Izgradnja biciklističko-pješačke staze u naselju Đelekovec (ITU)</w:t>
            </w:r>
          </w:p>
        </w:tc>
        <w:tc>
          <w:tcPr>
            <w:tcW w:w="1559" w:type="dxa"/>
            <w:tcBorders>
              <w:top w:val="nil"/>
              <w:left w:val="nil"/>
              <w:bottom w:val="single" w:sz="8" w:space="0" w:color="auto"/>
              <w:right w:val="single" w:sz="8" w:space="0" w:color="auto"/>
            </w:tcBorders>
            <w:vAlign w:val="center"/>
          </w:tcPr>
          <w:p w14:paraId="17AEF1B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2D7BCFB9"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329.026,50 </w:t>
            </w:r>
          </w:p>
        </w:tc>
        <w:tc>
          <w:tcPr>
            <w:tcW w:w="1701" w:type="dxa"/>
            <w:tcBorders>
              <w:top w:val="nil"/>
              <w:left w:val="single" w:sz="8" w:space="0" w:color="auto"/>
              <w:bottom w:val="single" w:sz="8" w:space="0" w:color="auto"/>
              <w:right w:val="single" w:sz="8" w:space="0" w:color="auto"/>
            </w:tcBorders>
            <w:vAlign w:val="center"/>
          </w:tcPr>
          <w:p w14:paraId="01DCC8A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Đelekovec</w:t>
            </w:r>
          </w:p>
        </w:tc>
      </w:tr>
      <w:tr w:rsidR="001E37DF" w:rsidRPr="00DD50FA" w14:paraId="4A310AFB"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CF7627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34.</w:t>
            </w:r>
          </w:p>
        </w:tc>
        <w:tc>
          <w:tcPr>
            <w:tcW w:w="3969" w:type="dxa"/>
            <w:tcBorders>
              <w:top w:val="nil"/>
              <w:left w:val="nil"/>
              <w:bottom w:val="single" w:sz="8" w:space="0" w:color="auto"/>
              <w:right w:val="single" w:sz="8" w:space="0" w:color="auto"/>
            </w:tcBorders>
            <w:vAlign w:val="center"/>
          </w:tcPr>
          <w:p w14:paraId="198987F0"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Dogradnja dječjeg vrtića u Peterancu</w:t>
            </w:r>
          </w:p>
        </w:tc>
        <w:tc>
          <w:tcPr>
            <w:tcW w:w="1559" w:type="dxa"/>
            <w:tcBorders>
              <w:top w:val="nil"/>
              <w:left w:val="nil"/>
              <w:bottom w:val="single" w:sz="8" w:space="0" w:color="auto"/>
              <w:right w:val="single" w:sz="8" w:space="0" w:color="auto"/>
            </w:tcBorders>
            <w:vAlign w:val="center"/>
          </w:tcPr>
          <w:p w14:paraId="4C30BCB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04C4404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170.000,00</w:t>
            </w:r>
          </w:p>
        </w:tc>
        <w:tc>
          <w:tcPr>
            <w:tcW w:w="1701" w:type="dxa"/>
            <w:tcBorders>
              <w:top w:val="nil"/>
              <w:left w:val="single" w:sz="8" w:space="0" w:color="auto"/>
              <w:bottom w:val="single" w:sz="8" w:space="0" w:color="auto"/>
              <w:right w:val="single" w:sz="8" w:space="0" w:color="auto"/>
            </w:tcBorders>
            <w:vAlign w:val="center"/>
          </w:tcPr>
          <w:p w14:paraId="77E2931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Peteranec</w:t>
            </w:r>
          </w:p>
        </w:tc>
      </w:tr>
      <w:tr w:rsidR="001E37DF" w:rsidRPr="00DD50FA" w14:paraId="7113932F"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67F195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35.</w:t>
            </w:r>
          </w:p>
        </w:tc>
        <w:tc>
          <w:tcPr>
            <w:tcW w:w="3969" w:type="dxa"/>
            <w:tcBorders>
              <w:top w:val="nil"/>
              <w:left w:val="nil"/>
              <w:bottom w:val="single" w:sz="8" w:space="0" w:color="auto"/>
              <w:right w:val="single" w:sz="8" w:space="0" w:color="auto"/>
            </w:tcBorders>
            <w:vAlign w:val="center"/>
          </w:tcPr>
          <w:p w14:paraId="64FB4C55"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Dogradnja dječjeg vrtića u Koprivničkom Ivancu</w:t>
            </w:r>
          </w:p>
        </w:tc>
        <w:tc>
          <w:tcPr>
            <w:tcW w:w="1559" w:type="dxa"/>
            <w:tcBorders>
              <w:top w:val="nil"/>
              <w:left w:val="nil"/>
              <w:bottom w:val="single" w:sz="8" w:space="0" w:color="auto"/>
              <w:right w:val="single" w:sz="8" w:space="0" w:color="auto"/>
            </w:tcBorders>
            <w:vAlign w:val="center"/>
          </w:tcPr>
          <w:p w14:paraId="17AC482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4758A98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170.000,00</w:t>
            </w:r>
          </w:p>
        </w:tc>
        <w:tc>
          <w:tcPr>
            <w:tcW w:w="1701" w:type="dxa"/>
            <w:tcBorders>
              <w:top w:val="nil"/>
              <w:left w:val="single" w:sz="8" w:space="0" w:color="auto"/>
              <w:bottom w:val="single" w:sz="8" w:space="0" w:color="auto"/>
              <w:right w:val="single" w:sz="8" w:space="0" w:color="auto"/>
            </w:tcBorders>
            <w:vAlign w:val="center"/>
          </w:tcPr>
          <w:p w14:paraId="2F6C8413"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Koprivnički Ivanec</w:t>
            </w:r>
          </w:p>
        </w:tc>
      </w:tr>
      <w:tr w:rsidR="001E37DF" w:rsidRPr="00DD50FA" w14:paraId="41679FDB"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17025A7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36.</w:t>
            </w:r>
          </w:p>
        </w:tc>
        <w:tc>
          <w:tcPr>
            <w:tcW w:w="3969" w:type="dxa"/>
            <w:tcBorders>
              <w:top w:val="nil"/>
              <w:left w:val="nil"/>
              <w:bottom w:val="single" w:sz="8" w:space="0" w:color="auto"/>
              <w:right w:val="single" w:sz="8" w:space="0" w:color="auto"/>
            </w:tcBorders>
            <w:vAlign w:val="center"/>
          </w:tcPr>
          <w:p w14:paraId="5054C8AA"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Dogradnja dječjeg vrtića u Podravskim Sesvetama</w:t>
            </w:r>
          </w:p>
        </w:tc>
        <w:tc>
          <w:tcPr>
            <w:tcW w:w="1559" w:type="dxa"/>
            <w:tcBorders>
              <w:top w:val="nil"/>
              <w:left w:val="nil"/>
              <w:bottom w:val="single" w:sz="8" w:space="0" w:color="auto"/>
              <w:right w:val="single" w:sz="8" w:space="0" w:color="auto"/>
            </w:tcBorders>
            <w:vAlign w:val="center"/>
          </w:tcPr>
          <w:p w14:paraId="5FA3084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0C80B86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170.000,00</w:t>
            </w:r>
          </w:p>
        </w:tc>
        <w:tc>
          <w:tcPr>
            <w:tcW w:w="1701" w:type="dxa"/>
            <w:tcBorders>
              <w:top w:val="nil"/>
              <w:left w:val="single" w:sz="8" w:space="0" w:color="auto"/>
              <w:bottom w:val="single" w:sz="8" w:space="0" w:color="auto"/>
              <w:right w:val="single" w:sz="8" w:space="0" w:color="auto"/>
            </w:tcBorders>
            <w:vAlign w:val="center"/>
          </w:tcPr>
          <w:p w14:paraId="412EF486"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Podravske Sesvete</w:t>
            </w:r>
          </w:p>
        </w:tc>
      </w:tr>
      <w:tr w:rsidR="001E37DF" w:rsidRPr="00DD50FA" w14:paraId="658302BA"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3F6C72F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37.</w:t>
            </w:r>
          </w:p>
        </w:tc>
        <w:tc>
          <w:tcPr>
            <w:tcW w:w="3969" w:type="dxa"/>
            <w:tcBorders>
              <w:top w:val="nil"/>
              <w:left w:val="nil"/>
              <w:bottom w:val="single" w:sz="8" w:space="0" w:color="auto"/>
              <w:right w:val="single" w:sz="8" w:space="0" w:color="auto"/>
            </w:tcBorders>
            <w:vAlign w:val="center"/>
          </w:tcPr>
          <w:p w14:paraId="3E8368D7"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ClimProGrape - Climate change-Protection-Grape wine</w:t>
            </w:r>
          </w:p>
        </w:tc>
        <w:tc>
          <w:tcPr>
            <w:tcW w:w="1559" w:type="dxa"/>
            <w:tcBorders>
              <w:top w:val="nil"/>
              <w:left w:val="nil"/>
              <w:bottom w:val="single" w:sz="8" w:space="0" w:color="auto"/>
              <w:right w:val="single" w:sz="8" w:space="0" w:color="auto"/>
            </w:tcBorders>
            <w:vAlign w:val="center"/>
          </w:tcPr>
          <w:p w14:paraId="5259C44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58CC2FF6"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w:t>
            </w:r>
          </w:p>
        </w:tc>
        <w:tc>
          <w:tcPr>
            <w:tcW w:w="1701" w:type="dxa"/>
            <w:tcBorders>
              <w:top w:val="nil"/>
              <w:left w:val="single" w:sz="8" w:space="0" w:color="auto"/>
              <w:bottom w:val="single" w:sz="8" w:space="0" w:color="auto"/>
              <w:right w:val="single" w:sz="8" w:space="0" w:color="auto"/>
            </w:tcBorders>
            <w:vAlign w:val="center"/>
          </w:tcPr>
          <w:p w14:paraId="2C58CB7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Veleučilište u Križevcima</w:t>
            </w:r>
          </w:p>
        </w:tc>
      </w:tr>
      <w:tr w:rsidR="001E37DF" w:rsidRPr="00DD50FA" w14:paraId="68BC548A"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E0C79A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38.</w:t>
            </w:r>
          </w:p>
        </w:tc>
        <w:tc>
          <w:tcPr>
            <w:tcW w:w="3969" w:type="dxa"/>
            <w:tcBorders>
              <w:top w:val="nil"/>
              <w:left w:val="nil"/>
              <w:bottom w:val="single" w:sz="8" w:space="0" w:color="auto"/>
              <w:right w:val="single" w:sz="8" w:space="0" w:color="auto"/>
            </w:tcBorders>
            <w:vAlign w:val="center"/>
          </w:tcPr>
          <w:p w14:paraId="6FA2EA14"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Dogradnja Gimnazije Ivana Zakmardija Dijankovečkoga u Križevcima</w:t>
            </w:r>
          </w:p>
        </w:tc>
        <w:tc>
          <w:tcPr>
            <w:tcW w:w="1559" w:type="dxa"/>
            <w:tcBorders>
              <w:top w:val="nil"/>
              <w:left w:val="nil"/>
              <w:bottom w:val="single" w:sz="8" w:space="0" w:color="auto"/>
              <w:right w:val="single" w:sz="8" w:space="0" w:color="auto"/>
            </w:tcBorders>
            <w:vAlign w:val="center"/>
          </w:tcPr>
          <w:p w14:paraId="57FB045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53E1656D"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1.800.000,00 </w:t>
            </w:r>
          </w:p>
        </w:tc>
        <w:tc>
          <w:tcPr>
            <w:tcW w:w="1701" w:type="dxa"/>
            <w:tcBorders>
              <w:top w:val="nil"/>
              <w:left w:val="single" w:sz="8" w:space="0" w:color="auto"/>
              <w:bottom w:val="single" w:sz="8" w:space="0" w:color="auto"/>
              <w:right w:val="single" w:sz="8" w:space="0" w:color="auto"/>
            </w:tcBorders>
            <w:vAlign w:val="center"/>
          </w:tcPr>
          <w:p w14:paraId="08FCE3D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Koprivničko-križevačka županija</w:t>
            </w:r>
          </w:p>
        </w:tc>
      </w:tr>
      <w:tr w:rsidR="001E37DF" w:rsidRPr="00DD50FA" w14:paraId="51B6CFD7"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1C0411E5"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39.</w:t>
            </w:r>
          </w:p>
        </w:tc>
        <w:tc>
          <w:tcPr>
            <w:tcW w:w="3969" w:type="dxa"/>
            <w:tcBorders>
              <w:top w:val="nil"/>
              <w:left w:val="nil"/>
              <w:bottom w:val="single" w:sz="8" w:space="0" w:color="auto"/>
              <w:right w:val="single" w:sz="8" w:space="0" w:color="auto"/>
            </w:tcBorders>
            <w:vAlign w:val="center"/>
          </w:tcPr>
          <w:p w14:paraId="632F36E9"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Izgradnja biciklističko-pješačke staze u Ulici Blaža Mađera u Novigradu Podravskom (ITU)</w:t>
            </w:r>
          </w:p>
        </w:tc>
        <w:tc>
          <w:tcPr>
            <w:tcW w:w="1559" w:type="dxa"/>
            <w:tcBorders>
              <w:top w:val="nil"/>
              <w:left w:val="nil"/>
              <w:bottom w:val="single" w:sz="8" w:space="0" w:color="auto"/>
              <w:right w:val="single" w:sz="8" w:space="0" w:color="auto"/>
            </w:tcBorders>
            <w:vAlign w:val="center"/>
          </w:tcPr>
          <w:p w14:paraId="255A75B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1A63BF7C" w14:textId="77777777" w:rsidR="001E37DF" w:rsidRPr="00F120D7" w:rsidRDefault="001E37DF" w:rsidP="00C37BF6">
            <w:pPr>
              <w:spacing w:line="240" w:lineRule="auto"/>
              <w:jc w:val="right"/>
              <w:rPr>
                <w:rFonts w:ascii="Times New Roman" w:hAnsi="Times New Roman" w:cs="Times New Roman"/>
              </w:rPr>
            </w:pPr>
            <w:r w:rsidRPr="00F120D7">
              <w:rPr>
                <w:rFonts w:ascii="Times New Roman" w:hAnsi="Times New Roman" w:cs="Times New Roman"/>
              </w:rPr>
              <w:t xml:space="preserve">                                                    392.003,75 </w:t>
            </w:r>
          </w:p>
          <w:p w14:paraId="7FB5BA21" w14:textId="77777777" w:rsidR="001E37DF" w:rsidRPr="00F120D7" w:rsidRDefault="001E37DF" w:rsidP="00C37BF6">
            <w:pPr>
              <w:spacing w:after="0" w:line="240" w:lineRule="auto"/>
              <w:jc w:val="right"/>
              <w:rPr>
                <w:rFonts w:ascii="Times New Roman" w:hAnsi="Times New Roman" w:cs="Times New Roman"/>
              </w:rPr>
            </w:pPr>
          </w:p>
        </w:tc>
        <w:tc>
          <w:tcPr>
            <w:tcW w:w="1701" w:type="dxa"/>
            <w:tcBorders>
              <w:top w:val="nil"/>
              <w:left w:val="single" w:sz="8" w:space="0" w:color="auto"/>
              <w:bottom w:val="single" w:sz="8" w:space="0" w:color="auto"/>
              <w:right w:val="single" w:sz="8" w:space="0" w:color="auto"/>
            </w:tcBorders>
            <w:vAlign w:val="center"/>
          </w:tcPr>
          <w:p w14:paraId="79B28C2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Novigrad Podravski</w:t>
            </w:r>
          </w:p>
        </w:tc>
      </w:tr>
      <w:tr w:rsidR="001E37DF" w:rsidRPr="00DD50FA" w14:paraId="35D8C169"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D503CB3"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40.</w:t>
            </w:r>
          </w:p>
        </w:tc>
        <w:tc>
          <w:tcPr>
            <w:tcW w:w="3969" w:type="dxa"/>
            <w:tcBorders>
              <w:top w:val="nil"/>
              <w:left w:val="nil"/>
              <w:bottom w:val="single" w:sz="8" w:space="0" w:color="auto"/>
              <w:right w:val="single" w:sz="8" w:space="0" w:color="auto"/>
            </w:tcBorders>
            <w:vAlign w:val="center"/>
          </w:tcPr>
          <w:p w14:paraId="3A3597D0"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Kloštar Podravski</w:t>
            </w:r>
          </w:p>
        </w:tc>
        <w:tc>
          <w:tcPr>
            <w:tcW w:w="1559" w:type="dxa"/>
            <w:tcBorders>
              <w:top w:val="nil"/>
              <w:left w:val="nil"/>
              <w:bottom w:val="single" w:sz="8" w:space="0" w:color="auto"/>
              <w:right w:val="single" w:sz="8" w:space="0" w:color="auto"/>
            </w:tcBorders>
            <w:vAlign w:val="center"/>
          </w:tcPr>
          <w:p w14:paraId="350DD8E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6F472E05"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30.000,00 </w:t>
            </w:r>
          </w:p>
        </w:tc>
        <w:tc>
          <w:tcPr>
            <w:tcW w:w="1701" w:type="dxa"/>
            <w:tcBorders>
              <w:top w:val="nil"/>
              <w:left w:val="single" w:sz="8" w:space="0" w:color="auto"/>
              <w:bottom w:val="single" w:sz="8" w:space="0" w:color="auto"/>
              <w:right w:val="single" w:sz="8" w:space="0" w:color="auto"/>
            </w:tcBorders>
            <w:vAlign w:val="center"/>
          </w:tcPr>
          <w:p w14:paraId="18BD6BA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Kloštar Podravski</w:t>
            </w:r>
          </w:p>
        </w:tc>
      </w:tr>
      <w:tr w:rsidR="001E37DF" w:rsidRPr="00DD50FA" w14:paraId="0994C35E"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780B2C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lastRenderedPageBreak/>
              <w:t>41.</w:t>
            </w:r>
          </w:p>
        </w:tc>
        <w:tc>
          <w:tcPr>
            <w:tcW w:w="3969" w:type="dxa"/>
            <w:tcBorders>
              <w:top w:val="nil"/>
              <w:left w:val="nil"/>
              <w:bottom w:val="single" w:sz="8" w:space="0" w:color="auto"/>
              <w:right w:val="single" w:sz="8" w:space="0" w:color="auto"/>
            </w:tcBorders>
            <w:vAlign w:val="center"/>
          </w:tcPr>
          <w:p w14:paraId="7F569F9A"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izmjene i dopune Prostornog plana uređenja Općine Rasinja</w:t>
            </w:r>
          </w:p>
        </w:tc>
        <w:tc>
          <w:tcPr>
            <w:tcW w:w="1559" w:type="dxa"/>
            <w:tcBorders>
              <w:top w:val="nil"/>
              <w:left w:val="nil"/>
              <w:bottom w:val="single" w:sz="8" w:space="0" w:color="auto"/>
              <w:right w:val="single" w:sz="8" w:space="0" w:color="auto"/>
            </w:tcBorders>
            <w:vAlign w:val="center"/>
          </w:tcPr>
          <w:p w14:paraId="3935E31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6354AA10"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420D0C11"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Rasinja</w:t>
            </w:r>
          </w:p>
        </w:tc>
      </w:tr>
      <w:tr w:rsidR="001E37DF" w:rsidRPr="00DD50FA" w14:paraId="1C86BD6B"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B17A2C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42.</w:t>
            </w:r>
          </w:p>
        </w:tc>
        <w:tc>
          <w:tcPr>
            <w:tcW w:w="3969" w:type="dxa"/>
            <w:tcBorders>
              <w:top w:val="nil"/>
              <w:left w:val="nil"/>
              <w:bottom w:val="single" w:sz="8" w:space="0" w:color="auto"/>
              <w:right w:val="single" w:sz="8" w:space="0" w:color="auto"/>
            </w:tcBorders>
            <w:vAlign w:val="center"/>
          </w:tcPr>
          <w:p w14:paraId="44CD480C"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Izrada i donošenje Prostornog plana uređenja Općine Novo Virje putem elektroničkog sustava „ePlanovi“</w:t>
            </w:r>
          </w:p>
        </w:tc>
        <w:tc>
          <w:tcPr>
            <w:tcW w:w="1559" w:type="dxa"/>
            <w:tcBorders>
              <w:top w:val="nil"/>
              <w:left w:val="nil"/>
              <w:bottom w:val="single" w:sz="8" w:space="0" w:color="auto"/>
              <w:right w:val="single" w:sz="8" w:space="0" w:color="auto"/>
            </w:tcBorders>
            <w:vAlign w:val="center"/>
          </w:tcPr>
          <w:p w14:paraId="1251C95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66A5749A"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30.000,00</w:t>
            </w:r>
          </w:p>
        </w:tc>
        <w:tc>
          <w:tcPr>
            <w:tcW w:w="1701" w:type="dxa"/>
            <w:tcBorders>
              <w:top w:val="nil"/>
              <w:left w:val="single" w:sz="8" w:space="0" w:color="auto"/>
              <w:bottom w:val="single" w:sz="8" w:space="0" w:color="auto"/>
              <w:right w:val="single" w:sz="8" w:space="0" w:color="auto"/>
            </w:tcBorders>
            <w:vAlign w:val="center"/>
          </w:tcPr>
          <w:p w14:paraId="7477370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Novo Virje</w:t>
            </w:r>
          </w:p>
        </w:tc>
      </w:tr>
      <w:tr w:rsidR="001E37DF" w:rsidRPr="00DD50FA" w14:paraId="441F43FD" w14:textId="77777777" w:rsidTr="00C37BF6">
        <w:trPr>
          <w:trHeight w:val="1208"/>
        </w:trPr>
        <w:tc>
          <w:tcPr>
            <w:tcW w:w="699" w:type="dxa"/>
            <w:tcBorders>
              <w:top w:val="nil"/>
              <w:left w:val="single" w:sz="8" w:space="0" w:color="auto"/>
              <w:bottom w:val="single" w:sz="8" w:space="0" w:color="auto"/>
              <w:right w:val="single" w:sz="8" w:space="0" w:color="auto"/>
            </w:tcBorders>
            <w:vAlign w:val="center"/>
          </w:tcPr>
          <w:p w14:paraId="781D7C6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43.</w:t>
            </w:r>
          </w:p>
        </w:tc>
        <w:tc>
          <w:tcPr>
            <w:tcW w:w="3969" w:type="dxa"/>
            <w:tcBorders>
              <w:top w:val="nil"/>
              <w:left w:val="nil"/>
              <w:bottom w:val="single" w:sz="8" w:space="0" w:color="auto"/>
              <w:right w:val="single" w:sz="8" w:space="0" w:color="auto"/>
            </w:tcBorders>
            <w:vAlign w:val="center"/>
          </w:tcPr>
          <w:p w14:paraId="1E3B312D"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Pričom i predstavom do zvijezda</w:t>
            </w:r>
          </w:p>
        </w:tc>
        <w:tc>
          <w:tcPr>
            <w:tcW w:w="1559" w:type="dxa"/>
            <w:tcBorders>
              <w:top w:val="nil"/>
              <w:left w:val="nil"/>
              <w:bottom w:val="single" w:sz="8" w:space="0" w:color="auto"/>
              <w:right w:val="single" w:sz="8" w:space="0" w:color="auto"/>
            </w:tcBorders>
            <w:vAlign w:val="center"/>
          </w:tcPr>
          <w:p w14:paraId="5FDA3B3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ESF+</w:t>
            </w:r>
          </w:p>
        </w:tc>
        <w:tc>
          <w:tcPr>
            <w:tcW w:w="1701" w:type="dxa"/>
            <w:tcBorders>
              <w:top w:val="nil"/>
              <w:left w:val="single" w:sz="8" w:space="0" w:color="auto"/>
              <w:bottom w:val="single" w:sz="8" w:space="0" w:color="auto"/>
              <w:right w:val="single" w:sz="8" w:space="0" w:color="auto"/>
            </w:tcBorders>
            <w:vAlign w:val="center"/>
          </w:tcPr>
          <w:p w14:paraId="521EFC88"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64.869,13 </w:t>
            </w:r>
          </w:p>
        </w:tc>
        <w:tc>
          <w:tcPr>
            <w:tcW w:w="1701" w:type="dxa"/>
            <w:tcBorders>
              <w:top w:val="nil"/>
              <w:left w:val="single" w:sz="8" w:space="0" w:color="auto"/>
              <w:bottom w:val="single" w:sz="8" w:space="0" w:color="auto"/>
              <w:right w:val="single" w:sz="8" w:space="0" w:color="auto"/>
            </w:tcBorders>
            <w:vAlign w:val="center"/>
          </w:tcPr>
          <w:p w14:paraId="09CACCC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Gradska knjižnica „Franjo Marković“ Križevci</w:t>
            </w:r>
          </w:p>
        </w:tc>
      </w:tr>
      <w:tr w:rsidR="001E37DF" w:rsidRPr="00DD50FA" w14:paraId="2AAF934A"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E801C3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44.</w:t>
            </w:r>
          </w:p>
        </w:tc>
        <w:tc>
          <w:tcPr>
            <w:tcW w:w="3969" w:type="dxa"/>
            <w:tcBorders>
              <w:top w:val="nil"/>
              <w:left w:val="nil"/>
              <w:bottom w:val="single" w:sz="8" w:space="0" w:color="auto"/>
              <w:right w:val="single" w:sz="8" w:space="0" w:color="auto"/>
            </w:tcBorders>
            <w:vAlign w:val="center"/>
          </w:tcPr>
          <w:p w14:paraId="13C886D7"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AKT – Around the Kettle Together</w:t>
            </w:r>
          </w:p>
        </w:tc>
        <w:tc>
          <w:tcPr>
            <w:tcW w:w="1559" w:type="dxa"/>
            <w:tcBorders>
              <w:top w:val="nil"/>
              <w:left w:val="nil"/>
              <w:bottom w:val="single" w:sz="8" w:space="0" w:color="auto"/>
              <w:right w:val="single" w:sz="8" w:space="0" w:color="auto"/>
            </w:tcBorders>
            <w:vAlign w:val="center"/>
          </w:tcPr>
          <w:p w14:paraId="0EE9939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31CFC526"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1.313.205,63</w:t>
            </w:r>
          </w:p>
        </w:tc>
        <w:tc>
          <w:tcPr>
            <w:tcW w:w="1701" w:type="dxa"/>
            <w:tcBorders>
              <w:top w:val="nil"/>
              <w:left w:val="single" w:sz="8" w:space="0" w:color="auto"/>
              <w:bottom w:val="single" w:sz="8" w:space="0" w:color="auto"/>
              <w:right w:val="single" w:sz="8" w:space="0" w:color="auto"/>
            </w:tcBorders>
            <w:vAlign w:val="center"/>
          </w:tcPr>
          <w:p w14:paraId="0ACB0C9D"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Kalinovac</w:t>
            </w:r>
          </w:p>
        </w:tc>
      </w:tr>
      <w:tr w:rsidR="001E37DF" w:rsidRPr="00DD50FA" w14:paraId="6AD5E465"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CB256D3"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45.</w:t>
            </w:r>
          </w:p>
        </w:tc>
        <w:tc>
          <w:tcPr>
            <w:tcW w:w="3969" w:type="dxa"/>
            <w:tcBorders>
              <w:top w:val="nil"/>
              <w:left w:val="nil"/>
              <w:bottom w:val="single" w:sz="8" w:space="0" w:color="auto"/>
              <w:right w:val="single" w:sz="8" w:space="0" w:color="auto"/>
            </w:tcBorders>
            <w:vAlign w:val="center"/>
          </w:tcPr>
          <w:p w14:paraId="50B9A76E"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INATT - Increasing the attractiveness of tourism in CBC region</w:t>
            </w:r>
          </w:p>
        </w:tc>
        <w:tc>
          <w:tcPr>
            <w:tcW w:w="1559" w:type="dxa"/>
            <w:tcBorders>
              <w:top w:val="nil"/>
              <w:left w:val="nil"/>
              <w:bottom w:val="single" w:sz="8" w:space="0" w:color="auto"/>
              <w:right w:val="single" w:sz="8" w:space="0" w:color="auto"/>
            </w:tcBorders>
            <w:vAlign w:val="center"/>
          </w:tcPr>
          <w:p w14:paraId="7D590B7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5C18B7C7"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1.314.684,00</w:t>
            </w:r>
          </w:p>
        </w:tc>
        <w:tc>
          <w:tcPr>
            <w:tcW w:w="1701" w:type="dxa"/>
            <w:tcBorders>
              <w:top w:val="nil"/>
              <w:left w:val="single" w:sz="8" w:space="0" w:color="auto"/>
              <w:bottom w:val="single" w:sz="8" w:space="0" w:color="auto"/>
              <w:right w:val="single" w:sz="8" w:space="0" w:color="auto"/>
            </w:tcBorders>
            <w:vAlign w:val="center"/>
          </w:tcPr>
          <w:p w14:paraId="3B4F434E"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Općina Novigrad Podravski</w:t>
            </w:r>
          </w:p>
        </w:tc>
      </w:tr>
      <w:tr w:rsidR="001E37DF" w:rsidRPr="00DD50FA" w14:paraId="6D28B3A6"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AA7E77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46.</w:t>
            </w:r>
          </w:p>
        </w:tc>
        <w:tc>
          <w:tcPr>
            <w:tcW w:w="3969" w:type="dxa"/>
            <w:tcBorders>
              <w:top w:val="nil"/>
              <w:left w:val="nil"/>
              <w:bottom w:val="single" w:sz="8" w:space="0" w:color="auto"/>
              <w:right w:val="single" w:sz="8" w:space="0" w:color="auto"/>
            </w:tcBorders>
            <w:vAlign w:val="center"/>
          </w:tcPr>
          <w:p w14:paraId="06675B95"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CH4RGE - Croatian and Hungarian schools for Renewable Green Energy</w:t>
            </w:r>
          </w:p>
        </w:tc>
        <w:tc>
          <w:tcPr>
            <w:tcW w:w="1559" w:type="dxa"/>
            <w:tcBorders>
              <w:top w:val="nil"/>
              <w:left w:val="nil"/>
              <w:bottom w:val="single" w:sz="8" w:space="0" w:color="auto"/>
              <w:right w:val="single" w:sz="8" w:space="0" w:color="auto"/>
            </w:tcBorders>
            <w:vAlign w:val="center"/>
          </w:tcPr>
          <w:p w14:paraId="46312212"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65F4D631"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 xml:space="preserve">263.925,40 </w:t>
            </w:r>
          </w:p>
        </w:tc>
        <w:tc>
          <w:tcPr>
            <w:tcW w:w="1701" w:type="dxa"/>
            <w:tcBorders>
              <w:top w:val="nil"/>
              <w:left w:val="single" w:sz="8" w:space="0" w:color="auto"/>
              <w:bottom w:val="single" w:sz="8" w:space="0" w:color="auto"/>
              <w:right w:val="single" w:sz="8" w:space="0" w:color="auto"/>
            </w:tcBorders>
            <w:vAlign w:val="center"/>
          </w:tcPr>
          <w:p w14:paraId="7CCA04D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Gimnazija „Fran Galović“ Koprivnica</w:t>
            </w:r>
          </w:p>
        </w:tc>
      </w:tr>
      <w:tr w:rsidR="001E37DF" w:rsidRPr="00DD50FA" w14:paraId="46CFB55F"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4D80D7C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47.</w:t>
            </w:r>
          </w:p>
        </w:tc>
        <w:tc>
          <w:tcPr>
            <w:tcW w:w="3969" w:type="dxa"/>
            <w:tcBorders>
              <w:top w:val="nil"/>
              <w:left w:val="nil"/>
              <w:bottom w:val="single" w:sz="8" w:space="0" w:color="auto"/>
              <w:right w:val="single" w:sz="8" w:space="0" w:color="auto"/>
            </w:tcBorders>
            <w:vAlign w:val="center"/>
          </w:tcPr>
          <w:p w14:paraId="62E29321"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CBC4HEALTH - Education and cross-border cooperation for better health</w:t>
            </w:r>
          </w:p>
        </w:tc>
        <w:tc>
          <w:tcPr>
            <w:tcW w:w="1559" w:type="dxa"/>
            <w:tcBorders>
              <w:top w:val="nil"/>
              <w:left w:val="nil"/>
              <w:bottom w:val="single" w:sz="8" w:space="0" w:color="auto"/>
              <w:right w:val="single" w:sz="8" w:space="0" w:color="auto"/>
            </w:tcBorders>
            <w:vAlign w:val="center"/>
          </w:tcPr>
          <w:p w14:paraId="29334EC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3061F073"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190.899,58</w:t>
            </w:r>
          </w:p>
        </w:tc>
        <w:tc>
          <w:tcPr>
            <w:tcW w:w="1701" w:type="dxa"/>
            <w:tcBorders>
              <w:top w:val="nil"/>
              <w:left w:val="single" w:sz="8" w:space="0" w:color="auto"/>
              <w:bottom w:val="single" w:sz="8" w:space="0" w:color="auto"/>
              <w:right w:val="single" w:sz="8" w:space="0" w:color="auto"/>
            </w:tcBorders>
            <w:vAlign w:val="center"/>
          </w:tcPr>
          <w:p w14:paraId="3852428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Zavod za javno zdravstvo Koprivničko-križevačke županije</w:t>
            </w:r>
          </w:p>
        </w:tc>
      </w:tr>
      <w:tr w:rsidR="001E37DF" w:rsidRPr="00DD50FA" w14:paraId="5038A72C"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96DE66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48.</w:t>
            </w:r>
          </w:p>
        </w:tc>
        <w:tc>
          <w:tcPr>
            <w:tcW w:w="3969" w:type="dxa"/>
            <w:tcBorders>
              <w:top w:val="nil"/>
              <w:left w:val="nil"/>
              <w:bottom w:val="single" w:sz="8" w:space="0" w:color="auto"/>
              <w:right w:val="single" w:sz="8" w:space="0" w:color="auto"/>
            </w:tcBorders>
            <w:vAlign w:val="center"/>
          </w:tcPr>
          <w:p w14:paraId="782D2F5F"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DRAVAFOOD4FUTURE - Encouraging innovative food systems and raising health awareness to create a healthier</w:t>
            </w:r>
          </w:p>
        </w:tc>
        <w:tc>
          <w:tcPr>
            <w:tcW w:w="1559" w:type="dxa"/>
            <w:tcBorders>
              <w:top w:val="nil"/>
              <w:left w:val="nil"/>
              <w:bottom w:val="single" w:sz="8" w:space="0" w:color="auto"/>
              <w:right w:val="single" w:sz="8" w:space="0" w:color="auto"/>
            </w:tcBorders>
            <w:vAlign w:val="center"/>
          </w:tcPr>
          <w:p w14:paraId="787F388F"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43A9B944"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444.233,92</w:t>
            </w:r>
          </w:p>
        </w:tc>
        <w:tc>
          <w:tcPr>
            <w:tcW w:w="1701" w:type="dxa"/>
            <w:tcBorders>
              <w:top w:val="nil"/>
              <w:left w:val="single" w:sz="8" w:space="0" w:color="auto"/>
              <w:bottom w:val="single" w:sz="8" w:space="0" w:color="auto"/>
              <w:right w:val="single" w:sz="8" w:space="0" w:color="auto"/>
            </w:tcBorders>
            <w:vAlign w:val="center"/>
          </w:tcPr>
          <w:p w14:paraId="61352E28"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Veleučilište u Križevcima</w:t>
            </w:r>
          </w:p>
        </w:tc>
      </w:tr>
      <w:tr w:rsidR="001E37DF" w:rsidRPr="00DD50FA" w14:paraId="443592A6"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2872196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49.</w:t>
            </w:r>
          </w:p>
        </w:tc>
        <w:tc>
          <w:tcPr>
            <w:tcW w:w="3969" w:type="dxa"/>
            <w:tcBorders>
              <w:top w:val="nil"/>
              <w:left w:val="nil"/>
              <w:bottom w:val="single" w:sz="8" w:space="0" w:color="auto"/>
              <w:right w:val="single" w:sz="8" w:space="0" w:color="auto"/>
            </w:tcBorders>
            <w:vAlign w:val="center"/>
          </w:tcPr>
          <w:p w14:paraId="3C446246"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FOREST4EVER - Sustainable forest management for sustainable tourism</w:t>
            </w:r>
          </w:p>
        </w:tc>
        <w:tc>
          <w:tcPr>
            <w:tcW w:w="1559" w:type="dxa"/>
            <w:tcBorders>
              <w:top w:val="nil"/>
              <w:left w:val="nil"/>
              <w:bottom w:val="single" w:sz="8" w:space="0" w:color="auto"/>
              <w:right w:val="single" w:sz="8" w:space="0" w:color="auto"/>
            </w:tcBorders>
            <w:vAlign w:val="center"/>
          </w:tcPr>
          <w:p w14:paraId="267AEE93"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551F3A65"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648.426,50</w:t>
            </w:r>
          </w:p>
        </w:tc>
        <w:tc>
          <w:tcPr>
            <w:tcW w:w="1701" w:type="dxa"/>
            <w:tcBorders>
              <w:top w:val="nil"/>
              <w:left w:val="single" w:sz="8" w:space="0" w:color="auto"/>
              <w:bottom w:val="single" w:sz="8" w:space="0" w:color="auto"/>
              <w:right w:val="single" w:sz="8" w:space="0" w:color="auto"/>
            </w:tcBorders>
            <w:vAlign w:val="center"/>
          </w:tcPr>
          <w:p w14:paraId="2A1008FD" w14:textId="3B279C08"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Javna ustanova za upravljanje zaštićenim dijelovima prirode na području KKŽ</w:t>
            </w:r>
            <w:r w:rsidR="000B1366">
              <w:rPr>
                <w:rFonts w:ascii="Times New Roman" w:hAnsi="Times New Roman" w:cs="Times New Roman"/>
              </w:rPr>
              <w:t>, HŠ UŠP KC</w:t>
            </w:r>
          </w:p>
        </w:tc>
      </w:tr>
      <w:tr w:rsidR="001E37DF" w:rsidRPr="00DD50FA" w14:paraId="1B355A41"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647C1B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50.</w:t>
            </w:r>
          </w:p>
        </w:tc>
        <w:tc>
          <w:tcPr>
            <w:tcW w:w="3969" w:type="dxa"/>
            <w:tcBorders>
              <w:top w:val="nil"/>
              <w:left w:val="nil"/>
              <w:bottom w:val="single" w:sz="8" w:space="0" w:color="auto"/>
              <w:right w:val="single" w:sz="8" w:space="0" w:color="auto"/>
            </w:tcBorders>
            <w:vAlign w:val="center"/>
          </w:tcPr>
          <w:p w14:paraId="19E09541"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DRAVIS4 - Drava Region Climate Change Adaptation for Disaster Management</w:t>
            </w:r>
          </w:p>
        </w:tc>
        <w:tc>
          <w:tcPr>
            <w:tcW w:w="1559" w:type="dxa"/>
            <w:tcBorders>
              <w:top w:val="nil"/>
              <w:left w:val="nil"/>
              <w:bottom w:val="single" w:sz="8" w:space="0" w:color="auto"/>
              <w:right w:val="single" w:sz="8" w:space="0" w:color="auto"/>
            </w:tcBorders>
            <w:vAlign w:val="center"/>
          </w:tcPr>
          <w:p w14:paraId="57CAA26C"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13C5F1D6"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1.447.550,50</w:t>
            </w:r>
          </w:p>
        </w:tc>
        <w:tc>
          <w:tcPr>
            <w:tcW w:w="1701" w:type="dxa"/>
            <w:tcBorders>
              <w:top w:val="nil"/>
              <w:left w:val="single" w:sz="8" w:space="0" w:color="auto"/>
              <w:bottom w:val="single" w:sz="8" w:space="0" w:color="auto"/>
              <w:right w:val="single" w:sz="8" w:space="0" w:color="auto"/>
            </w:tcBorders>
            <w:vAlign w:val="center"/>
          </w:tcPr>
          <w:p w14:paraId="2BDB681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Koprivničko-križevačka županija</w:t>
            </w:r>
          </w:p>
        </w:tc>
      </w:tr>
      <w:tr w:rsidR="001E37DF" w:rsidRPr="00DD50FA" w14:paraId="532E718B"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68D43AE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51.</w:t>
            </w:r>
          </w:p>
        </w:tc>
        <w:tc>
          <w:tcPr>
            <w:tcW w:w="3969" w:type="dxa"/>
            <w:tcBorders>
              <w:top w:val="nil"/>
              <w:left w:val="nil"/>
              <w:bottom w:val="single" w:sz="8" w:space="0" w:color="auto"/>
              <w:right w:val="single" w:sz="8" w:space="0" w:color="auto"/>
            </w:tcBorders>
            <w:vAlign w:val="center"/>
          </w:tcPr>
          <w:p w14:paraId="30E511E7"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Specijalističko usavršavanje medicinskih sestara i tehničara u djelatnosti hitne medicine Zavoda za hitnu medicinu Koprivničko-križevačke županije 3</w:t>
            </w:r>
          </w:p>
        </w:tc>
        <w:tc>
          <w:tcPr>
            <w:tcW w:w="1559" w:type="dxa"/>
            <w:tcBorders>
              <w:top w:val="nil"/>
              <w:left w:val="nil"/>
              <w:bottom w:val="single" w:sz="8" w:space="0" w:color="auto"/>
              <w:right w:val="single" w:sz="8" w:space="0" w:color="auto"/>
            </w:tcBorders>
            <w:vAlign w:val="center"/>
          </w:tcPr>
          <w:p w14:paraId="5EEC9E2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367C8388"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184.686,24</w:t>
            </w:r>
          </w:p>
        </w:tc>
        <w:tc>
          <w:tcPr>
            <w:tcW w:w="1701" w:type="dxa"/>
            <w:tcBorders>
              <w:top w:val="nil"/>
              <w:left w:val="single" w:sz="8" w:space="0" w:color="auto"/>
              <w:bottom w:val="single" w:sz="8" w:space="0" w:color="auto"/>
              <w:right w:val="single" w:sz="8" w:space="0" w:color="auto"/>
            </w:tcBorders>
            <w:vAlign w:val="center"/>
          </w:tcPr>
          <w:p w14:paraId="61CEBCD0"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Zavod za hitnu medicinu Koprivničko-križevačke županije</w:t>
            </w:r>
          </w:p>
        </w:tc>
      </w:tr>
      <w:tr w:rsidR="001E37DF" w:rsidRPr="00DD50FA" w14:paraId="0DC5AD92"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37C6D69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52.</w:t>
            </w:r>
          </w:p>
        </w:tc>
        <w:tc>
          <w:tcPr>
            <w:tcW w:w="3969" w:type="dxa"/>
            <w:tcBorders>
              <w:top w:val="nil"/>
              <w:left w:val="nil"/>
              <w:bottom w:val="single" w:sz="8" w:space="0" w:color="auto"/>
              <w:right w:val="single" w:sz="8" w:space="0" w:color="auto"/>
            </w:tcBorders>
            <w:vAlign w:val="center"/>
          </w:tcPr>
          <w:p w14:paraId="6223F4D6"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Specijalističko usavršavanje medicinskih sestara i tehničara u djelatnosti hitne medicine Opće bolnice Dr. Tomislav Bardek Koprivnica</w:t>
            </w:r>
          </w:p>
        </w:tc>
        <w:tc>
          <w:tcPr>
            <w:tcW w:w="1559" w:type="dxa"/>
            <w:tcBorders>
              <w:top w:val="nil"/>
              <w:left w:val="nil"/>
              <w:bottom w:val="single" w:sz="8" w:space="0" w:color="auto"/>
              <w:right w:val="single" w:sz="8" w:space="0" w:color="auto"/>
            </w:tcBorders>
            <w:vAlign w:val="center"/>
          </w:tcPr>
          <w:p w14:paraId="1874B19A"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4FCE1E16"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39.693,50</w:t>
            </w:r>
          </w:p>
        </w:tc>
        <w:tc>
          <w:tcPr>
            <w:tcW w:w="1701" w:type="dxa"/>
            <w:tcBorders>
              <w:top w:val="nil"/>
              <w:left w:val="single" w:sz="8" w:space="0" w:color="auto"/>
              <w:bottom w:val="single" w:sz="8" w:space="0" w:color="auto"/>
              <w:right w:val="single" w:sz="8" w:space="0" w:color="auto"/>
            </w:tcBorders>
            <w:vAlign w:val="center"/>
          </w:tcPr>
          <w:p w14:paraId="3165143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Opća bolnica Dr. Tomislav Bardek Koprivnica</w:t>
            </w:r>
          </w:p>
        </w:tc>
      </w:tr>
      <w:tr w:rsidR="001E37DF" w:rsidRPr="00DD50FA" w14:paraId="6282F228"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3A06BD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53.</w:t>
            </w:r>
          </w:p>
        </w:tc>
        <w:tc>
          <w:tcPr>
            <w:tcW w:w="3969" w:type="dxa"/>
            <w:tcBorders>
              <w:top w:val="nil"/>
              <w:left w:val="nil"/>
              <w:bottom w:val="single" w:sz="8" w:space="0" w:color="auto"/>
              <w:right w:val="single" w:sz="8" w:space="0" w:color="auto"/>
            </w:tcBorders>
            <w:vAlign w:val="center"/>
          </w:tcPr>
          <w:p w14:paraId="6C56F578"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Amazon of Europe Bike Trail Hungary-Croatia - Better integration of local touristic services into the transnational tourism product „Amazon of Europe Bike Trail“</w:t>
            </w:r>
          </w:p>
        </w:tc>
        <w:tc>
          <w:tcPr>
            <w:tcW w:w="1559" w:type="dxa"/>
            <w:tcBorders>
              <w:top w:val="nil"/>
              <w:left w:val="nil"/>
              <w:bottom w:val="single" w:sz="8" w:space="0" w:color="auto"/>
              <w:right w:val="single" w:sz="8" w:space="0" w:color="auto"/>
            </w:tcBorders>
            <w:vAlign w:val="center"/>
          </w:tcPr>
          <w:p w14:paraId="5F13E3E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EFRR</w:t>
            </w:r>
          </w:p>
        </w:tc>
        <w:tc>
          <w:tcPr>
            <w:tcW w:w="1701" w:type="dxa"/>
            <w:tcBorders>
              <w:top w:val="nil"/>
              <w:left w:val="single" w:sz="8" w:space="0" w:color="auto"/>
              <w:bottom w:val="single" w:sz="8" w:space="0" w:color="auto"/>
              <w:right w:val="single" w:sz="8" w:space="0" w:color="auto"/>
            </w:tcBorders>
            <w:vAlign w:val="center"/>
          </w:tcPr>
          <w:p w14:paraId="191B9ACC" w14:textId="77777777" w:rsidR="001E37DF" w:rsidRPr="00F120D7" w:rsidRDefault="001E37DF" w:rsidP="00C37BF6">
            <w:pPr>
              <w:spacing w:after="0" w:line="240" w:lineRule="auto"/>
              <w:jc w:val="right"/>
              <w:rPr>
                <w:rFonts w:ascii="Times New Roman" w:hAnsi="Times New Roman" w:cs="Times New Roman"/>
                <w:color w:val="FF0000"/>
              </w:rPr>
            </w:pPr>
            <w:r w:rsidRPr="00F120D7">
              <w:rPr>
                <w:rFonts w:ascii="Times New Roman" w:hAnsi="Times New Roman" w:cs="Times New Roman"/>
              </w:rPr>
              <w:t>2.204.369,50</w:t>
            </w:r>
          </w:p>
        </w:tc>
        <w:tc>
          <w:tcPr>
            <w:tcW w:w="1701" w:type="dxa"/>
            <w:tcBorders>
              <w:top w:val="nil"/>
              <w:left w:val="single" w:sz="8" w:space="0" w:color="auto"/>
              <w:bottom w:val="single" w:sz="8" w:space="0" w:color="auto"/>
              <w:right w:val="single" w:sz="8" w:space="0" w:color="auto"/>
            </w:tcBorders>
            <w:vAlign w:val="center"/>
          </w:tcPr>
          <w:p w14:paraId="530E3137"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Pannon EGTC, Mađarska</w:t>
            </w:r>
          </w:p>
        </w:tc>
      </w:tr>
      <w:tr w:rsidR="001E37DF" w:rsidRPr="00DD50FA" w14:paraId="720D9C3E"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5490C6F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54.</w:t>
            </w:r>
          </w:p>
        </w:tc>
        <w:tc>
          <w:tcPr>
            <w:tcW w:w="3969" w:type="dxa"/>
            <w:tcBorders>
              <w:top w:val="nil"/>
              <w:left w:val="nil"/>
              <w:bottom w:val="single" w:sz="8" w:space="0" w:color="auto"/>
              <w:right w:val="single" w:sz="8" w:space="0" w:color="auto"/>
            </w:tcBorders>
            <w:vAlign w:val="center"/>
          </w:tcPr>
          <w:p w14:paraId="512CE04B"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i dogradnja Osnovne škole Fran Koncelak Drnje</w:t>
            </w:r>
          </w:p>
        </w:tc>
        <w:tc>
          <w:tcPr>
            <w:tcW w:w="1559" w:type="dxa"/>
            <w:tcBorders>
              <w:top w:val="nil"/>
              <w:left w:val="nil"/>
              <w:bottom w:val="single" w:sz="8" w:space="0" w:color="auto"/>
              <w:right w:val="single" w:sz="8" w:space="0" w:color="auto"/>
            </w:tcBorders>
            <w:vAlign w:val="center"/>
          </w:tcPr>
          <w:p w14:paraId="41A587C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06575BD4"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1.638.972,86</w:t>
            </w:r>
          </w:p>
        </w:tc>
        <w:tc>
          <w:tcPr>
            <w:tcW w:w="1701" w:type="dxa"/>
            <w:tcBorders>
              <w:top w:val="nil"/>
              <w:left w:val="single" w:sz="8" w:space="0" w:color="auto"/>
              <w:bottom w:val="single" w:sz="8" w:space="0" w:color="auto"/>
              <w:right w:val="single" w:sz="8" w:space="0" w:color="auto"/>
            </w:tcBorders>
            <w:vAlign w:val="center"/>
          </w:tcPr>
          <w:p w14:paraId="606A88C3"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Koprivničko-križevačka županija</w:t>
            </w:r>
          </w:p>
        </w:tc>
      </w:tr>
      <w:tr w:rsidR="001E37DF" w:rsidRPr="00DD50FA" w14:paraId="18C9572D"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0F2FFCF3"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lastRenderedPageBreak/>
              <w:t>55.</w:t>
            </w:r>
          </w:p>
        </w:tc>
        <w:tc>
          <w:tcPr>
            <w:tcW w:w="3969" w:type="dxa"/>
            <w:tcBorders>
              <w:top w:val="nil"/>
              <w:left w:val="nil"/>
              <w:bottom w:val="single" w:sz="8" w:space="0" w:color="auto"/>
              <w:right w:val="single" w:sz="8" w:space="0" w:color="auto"/>
            </w:tcBorders>
            <w:vAlign w:val="center"/>
          </w:tcPr>
          <w:p w14:paraId="3F07A4A9"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Osnovne škole „Grigor Vitez“ Sveti Ivan Žabno</w:t>
            </w:r>
          </w:p>
        </w:tc>
        <w:tc>
          <w:tcPr>
            <w:tcW w:w="1559" w:type="dxa"/>
            <w:tcBorders>
              <w:top w:val="nil"/>
              <w:left w:val="nil"/>
              <w:bottom w:val="single" w:sz="8" w:space="0" w:color="auto"/>
              <w:right w:val="single" w:sz="8" w:space="0" w:color="auto"/>
            </w:tcBorders>
            <w:vAlign w:val="center"/>
          </w:tcPr>
          <w:p w14:paraId="2344AB9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1C7731D9"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2.333.696,75</w:t>
            </w:r>
          </w:p>
        </w:tc>
        <w:tc>
          <w:tcPr>
            <w:tcW w:w="1701" w:type="dxa"/>
            <w:tcBorders>
              <w:top w:val="nil"/>
              <w:left w:val="single" w:sz="8" w:space="0" w:color="auto"/>
              <w:bottom w:val="single" w:sz="8" w:space="0" w:color="auto"/>
              <w:right w:val="single" w:sz="8" w:space="0" w:color="auto"/>
            </w:tcBorders>
            <w:vAlign w:val="center"/>
          </w:tcPr>
          <w:p w14:paraId="23C00695"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Koprivničko-križevačka županija</w:t>
            </w:r>
          </w:p>
        </w:tc>
      </w:tr>
      <w:tr w:rsidR="001E37DF" w:rsidRPr="00DD50FA" w14:paraId="582AC9DB" w14:textId="77777777" w:rsidTr="00C37BF6">
        <w:trPr>
          <w:trHeight w:val="537"/>
        </w:trPr>
        <w:tc>
          <w:tcPr>
            <w:tcW w:w="699" w:type="dxa"/>
            <w:tcBorders>
              <w:top w:val="nil"/>
              <w:left w:val="single" w:sz="8" w:space="0" w:color="auto"/>
              <w:bottom w:val="single" w:sz="8" w:space="0" w:color="auto"/>
              <w:right w:val="single" w:sz="8" w:space="0" w:color="auto"/>
            </w:tcBorders>
            <w:vAlign w:val="center"/>
          </w:tcPr>
          <w:p w14:paraId="7F22130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56.</w:t>
            </w:r>
          </w:p>
        </w:tc>
        <w:tc>
          <w:tcPr>
            <w:tcW w:w="3969" w:type="dxa"/>
            <w:tcBorders>
              <w:top w:val="nil"/>
              <w:left w:val="nil"/>
              <w:bottom w:val="single" w:sz="8" w:space="0" w:color="auto"/>
              <w:right w:val="single" w:sz="8" w:space="0" w:color="auto"/>
            </w:tcBorders>
            <w:vAlign w:val="center"/>
          </w:tcPr>
          <w:p w14:paraId="59416197" w14:textId="77777777" w:rsidR="001E37DF" w:rsidRPr="00F120D7" w:rsidRDefault="001E37DF" w:rsidP="00C37BF6">
            <w:pPr>
              <w:autoSpaceDE w:val="0"/>
              <w:autoSpaceDN w:val="0"/>
              <w:adjustRightInd w:val="0"/>
              <w:spacing w:after="0" w:line="240" w:lineRule="auto"/>
              <w:rPr>
                <w:rFonts w:ascii="Times New Roman" w:hAnsi="Times New Roman" w:cs="Times New Roman"/>
              </w:rPr>
            </w:pPr>
            <w:r w:rsidRPr="00F120D7">
              <w:rPr>
                <w:rFonts w:ascii="Times New Roman" w:hAnsi="Times New Roman" w:cs="Times New Roman"/>
              </w:rPr>
              <w:t>Rekonstrukcija i dogradnja Osnovne škole Ferdinandovac</w:t>
            </w:r>
          </w:p>
        </w:tc>
        <w:tc>
          <w:tcPr>
            <w:tcW w:w="1559" w:type="dxa"/>
            <w:tcBorders>
              <w:top w:val="nil"/>
              <w:left w:val="nil"/>
              <w:bottom w:val="single" w:sz="8" w:space="0" w:color="auto"/>
              <w:right w:val="single" w:sz="8" w:space="0" w:color="auto"/>
            </w:tcBorders>
            <w:vAlign w:val="center"/>
          </w:tcPr>
          <w:p w14:paraId="3C49BA8B"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NPOO</w:t>
            </w:r>
          </w:p>
        </w:tc>
        <w:tc>
          <w:tcPr>
            <w:tcW w:w="1701" w:type="dxa"/>
            <w:tcBorders>
              <w:top w:val="nil"/>
              <w:left w:val="single" w:sz="8" w:space="0" w:color="auto"/>
              <w:bottom w:val="single" w:sz="8" w:space="0" w:color="auto"/>
              <w:right w:val="single" w:sz="8" w:space="0" w:color="auto"/>
            </w:tcBorders>
            <w:vAlign w:val="center"/>
          </w:tcPr>
          <w:p w14:paraId="7386346B" w14:textId="77777777" w:rsidR="001E37DF" w:rsidRPr="00F120D7" w:rsidRDefault="001E37DF" w:rsidP="00C37BF6">
            <w:pPr>
              <w:spacing w:after="0" w:line="240" w:lineRule="auto"/>
              <w:jc w:val="right"/>
              <w:rPr>
                <w:rFonts w:ascii="Times New Roman" w:hAnsi="Times New Roman" w:cs="Times New Roman"/>
              </w:rPr>
            </w:pPr>
            <w:r w:rsidRPr="00F120D7">
              <w:rPr>
                <w:rFonts w:ascii="Times New Roman" w:hAnsi="Times New Roman" w:cs="Times New Roman"/>
              </w:rPr>
              <w:t>2.346.093,15</w:t>
            </w:r>
          </w:p>
        </w:tc>
        <w:tc>
          <w:tcPr>
            <w:tcW w:w="1701" w:type="dxa"/>
            <w:tcBorders>
              <w:top w:val="nil"/>
              <w:left w:val="single" w:sz="8" w:space="0" w:color="auto"/>
              <w:bottom w:val="single" w:sz="8" w:space="0" w:color="auto"/>
              <w:right w:val="single" w:sz="8" w:space="0" w:color="auto"/>
            </w:tcBorders>
            <w:vAlign w:val="center"/>
          </w:tcPr>
          <w:p w14:paraId="7E95E979" w14:textId="77777777" w:rsidR="001E37DF" w:rsidRPr="00F120D7" w:rsidRDefault="001E37DF" w:rsidP="00C37BF6">
            <w:pPr>
              <w:spacing w:after="0" w:line="240" w:lineRule="auto"/>
              <w:jc w:val="center"/>
              <w:rPr>
                <w:rFonts w:ascii="Times New Roman" w:hAnsi="Times New Roman" w:cs="Times New Roman"/>
              </w:rPr>
            </w:pPr>
            <w:r w:rsidRPr="00F120D7">
              <w:rPr>
                <w:rFonts w:ascii="Times New Roman" w:hAnsi="Times New Roman" w:cs="Times New Roman"/>
              </w:rPr>
              <w:t>Koprivničko-križevačka županija</w:t>
            </w:r>
          </w:p>
        </w:tc>
      </w:tr>
      <w:tr w:rsidR="001E37DF" w:rsidRPr="00DD50FA" w14:paraId="617FBEAC" w14:textId="77777777" w:rsidTr="00C37BF6">
        <w:trPr>
          <w:trHeight w:val="537"/>
        </w:trPr>
        <w:tc>
          <w:tcPr>
            <w:tcW w:w="6227" w:type="dxa"/>
            <w:gridSpan w:val="3"/>
            <w:tcBorders>
              <w:top w:val="nil"/>
              <w:left w:val="single" w:sz="8" w:space="0" w:color="auto"/>
              <w:bottom w:val="single" w:sz="8" w:space="0" w:color="auto"/>
              <w:right w:val="single" w:sz="8" w:space="0" w:color="auto"/>
            </w:tcBorders>
            <w:vAlign w:val="center"/>
          </w:tcPr>
          <w:p w14:paraId="7C8EBCFB" w14:textId="77777777" w:rsidR="001E37DF" w:rsidRPr="00F120D7" w:rsidRDefault="001E37DF" w:rsidP="00C37BF6">
            <w:pPr>
              <w:spacing w:after="0" w:line="240" w:lineRule="auto"/>
              <w:jc w:val="center"/>
              <w:rPr>
                <w:rFonts w:ascii="Times New Roman" w:eastAsia="Times New Roman" w:hAnsi="Times New Roman" w:cs="Times New Roman"/>
                <w:color w:val="FF0000"/>
                <w:lang w:eastAsia="hr-HR"/>
              </w:rPr>
            </w:pPr>
            <w:r w:rsidRPr="00F120D7">
              <w:rPr>
                <w:rFonts w:ascii="Times New Roman" w:eastAsia="Times New Roman" w:hAnsi="Times New Roman" w:cs="Times New Roman"/>
                <w:b/>
                <w:bCs/>
                <w:lang w:eastAsia="hr-HR"/>
              </w:rPr>
              <w:t>SVEUKUPNA VRIJEDNOST SVIH PROJEKATA KOJIMA JE PRUŽENA STRUČNA POMOĆ U PRIPREMI (56):</w:t>
            </w:r>
            <w:r w:rsidRPr="00F120D7">
              <w:rPr>
                <w:rFonts w:ascii="Times New Roman" w:eastAsia="Times New Roman" w:hAnsi="Times New Roman" w:cs="Times New Roman"/>
                <w:lang w:eastAsia="hr-HR"/>
              </w:rPr>
              <w:t> </w:t>
            </w:r>
          </w:p>
        </w:tc>
        <w:tc>
          <w:tcPr>
            <w:tcW w:w="1701" w:type="dxa"/>
            <w:tcBorders>
              <w:top w:val="nil"/>
              <w:left w:val="nil"/>
              <w:bottom w:val="single" w:sz="8" w:space="0" w:color="auto"/>
              <w:right w:val="single" w:sz="4" w:space="0" w:color="auto"/>
            </w:tcBorders>
            <w:vAlign w:val="center"/>
          </w:tcPr>
          <w:p w14:paraId="0AF4F501" w14:textId="77777777" w:rsidR="001E37DF" w:rsidRPr="00F120D7" w:rsidRDefault="001E37DF" w:rsidP="00C37BF6">
            <w:pPr>
              <w:spacing w:after="0" w:line="240" w:lineRule="auto"/>
              <w:jc w:val="right"/>
              <w:rPr>
                <w:rFonts w:ascii="Times New Roman" w:eastAsia="Calibri" w:hAnsi="Times New Roman" w:cs="Times New Roman"/>
                <w:b/>
                <w:bCs/>
                <w:color w:val="FF0000"/>
              </w:rPr>
            </w:pPr>
          </w:p>
          <w:p w14:paraId="7267D8BD" w14:textId="77777777" w:rsidR="001E37DF" w:rsidRPr="00F120D7" w:rsidRDefault="001E37DF" w:rsidP="00C37BF6">
            <w:pPr>
              <w:spacing w:line="240" w:lineRule="auto"/>
              <w:jc w:val="right"/>
              <w:rPr>
                <w:rFonts w:ascii="Times New Roman" w:eastAsia="Calibri" w:hAnsi="Times New Roman" w:cs="Times New Roman"/>
                <w:b/>
                <w:bCs/>
              </w:rPr>
            </w:pPr>
            <w:bookmarkStart w:id="12" w:name="_Hlk187230652"/>
            <w:r w:rsidRPr="00F120D7">
              <w:rPr>
                <w:rFonts w:ascii="Times New Roman" w:eastAsia="Calibri" w:hAnsi="Times New Roman" w:cs="Times New Roman"/>
                <w:b/>
                <w:bCs/>
              </w:rPr>
              <w:t>32.085.369,20</w:t>
            </w:r>
          </w:p>
          <w:bookmarkEnd w:id="12"/>
          <w:p w14:paraId="14F2BF67" w14:textId="77777777" w:rsidR="001E37DF" w:rsidRPr="00F120D7" w:rsidRDefault="001E37DF" w:rsidP="00C37BF6">
            <w:pPr>
              <w:spacing w:line="240" w:lineRule="auto"/>
              <w:jc w:val="right"/>
              <w:rPr>
                <w:rFonts w:ascii="Times New Roman" w:eastAsia="Calibri" w:hAnsi="Times New Roman" w:cs="Times New Roman"/>
                <w:b/>
                <w:bCs/>
                <w:color w:val="FF0000"/>
              </w:rPr>
            </w:pPr>
            <w:r w:rsidRPr="00F120D7">
              <w:rPr>
                <w:rFonts w:ascii="Times New Roman" w:eastAsia="Calibri" w:hAnsi="Times New Roman" w:cs="Times New Roman"/>
                <w:b/>
                <w:bCs/>
              </w:rPr>
              <w:t>EUR</w:t>
            </w:r>
          </w:p>
        </w:tc>
        <w:tc>
          <w:tcPr>
            <w:tcW w:w="1701" w:type="dxa"/>
            <w:tcBorders>
              <w:top w:val="nil"/>
              <w:left w:val="single" w:sz="4" w:space="0" w:color="auto"/>
              <w:bottom w:val="single" w:sz="8" w:space="0" w:color="auto"/>
              <w:right w:val="single" w:sz="8" w:space="0" w:color="auto"/>
            </w:tcBorders>
            <w:vAlign w:val="center"/>
          </w:tcPr>
          <w:p w14:paraId="3FA585E5" w14:textId="77777777" w:rsidR="001E37DF" w:rsidRPr="00F120D7" w:rsidRDefault="001E37DF" w:rsidP="00C37BF6">
            <w:pPr>
              <w:spacing w:after="0" w:line="240" w:lineRule="auto"/>
              <w:rPr>
                <w:rFonts w:ascii="Times New Roman" w:eastAsia="Calibri" w:hAnsi="Times New Roman" w:cs="Times New Roman"/>
                <w:b/>
                <w:bCs/>
              </w:rPr>
            </w:pPr>
            <w:r w:rsidRPr="00F120D7">
              <w:rPr>
                <w:rFonts w:ascii="Times New Roman" w:eastAsia="Calibri" w:hAnsi="Times New Roman" w:cs="Times New Roman"/>
                <w:b/>
                <w:bCs/>
              </w:rPr>
              <w:t>UKUPNO 28</w:t>
            </w:r>
          </w:p>
          <w:p w14:paraId="4C0E73DD" w14:textId="77777777" w:rsidR="001E37DF" w:rsidRPr="00F120D7" w:rsidRDefault="001E37DF" w:rsidP="00C37BF6">
            <w:pPr>
              <w:spacing w:after="0" w:line="240" w:lineRule="auto"/>
              <w:rPr>
                <w:rFonts w:ascii="Times New Roman" w:eastAsia="Calibri" w:hAnsi="Times New Roman" w:cs="Times New Roman"/>
                <w:b/>
                <w:bCs/>
                <w:color w:val="FF0000"/>
              </w:rPr>
            </w:pPr>
            <w:r w:rsidRPr="00F120D7">
              <w:rPr>
                <w:rFonts w:ascii="Times New Roman" w:eastAsia="Calibri" w:hAnsi="Times New Roman" w:cs="Times New Roman"/>
                <w:b/>
                <w:bCs/>
              </w:rPr>
              <w:t>KORISNIKA</w:t>
            </w:r>
          </w:p>
        </w:tc>
      </w:tr>
    </w:tbl>
    <w:p w14:paraId="7CC2C112" w14:textId="77777777" w:rsidR="001E37DF" w:rsidRDefault="001E37DF" w:rsidP="001E37DF">
      <w:pPr>
        <w:spacing w:after="0" w:line="240" w:lineRule="auto"/>
        <w:jc w:val="both"/>
        <w:rPr>
          <w:rFonts w:ascii="Times New Roman" w:eastAsia="Calibri" w:hAnsi="Times New Roman" w:cs="Times New Roman"/>
          <w:b/>
          <w:sz w:val="26"/>
          <w:szCs w:val="26"/>
        </w:rPr>
      </w:pPr>
    </w:p>
    <w:p w14:paraId="468E2AAD" w14:textId="77777777" w:rsidR="00356B27" w:rsidRDefault="00356B27" w:rsidP="001E37DF">
      <w:pPr>
        <w:spacing w:after="0" w:line="240" w:lineRule="auto"/>
        <w:jc w:val="both"/>
        <w:rPr>
          <w:rFonts w:ascii="Times New Roman" w:eastAsia="Calibri" w:hAnsi="Times New Roman" w:cs="Times New Roman"/>
          <w:b/>
          <w:sz w:val="26"/>
          <w:szCs w:val="26"/>
        </w:rPr>
      </w:pPr>
    </w:p>
    <w:p w14:paraId="5675C1A7" w14:textId="77777777" w:rsidR="001E37DF" w:rsidRPr="00DD50FA" w:rsidRDefault="001E37DF" w:rsidP="001E37DF">
      <w:pPr>
        <w:spacing w:after="0" w:line="240" w:lineRule="auto"/>
        <w:contextualSpacing/>
        <w:jc w:val="both"/>
        <w:rPr>
          <w:rFonts w:ascii="Times New Roman" w:eastAsia="Calibri" w:hAnsi="Times New Roman" w:cs="Times New Roman"/>
          <w:sz w:val="24"/>
          <w:szCs w:val="24"/>
          <w:shd w:val="clear" w:color="auto" w:fill="FFFFFF"/>
        </w:rPr>
      </w:pPr>
      <w:r w:rsidRPr="00DD50FA">
        <w:rPr>
          <w:rFonts w:ascii="Times New Roman" w:hAnsi="Times New Roman"/>
          <w:bCs/>
          <w:sz w:val="24"/>
          <w:szCs w:val="24"/>
        </w:rPr>
        <w:t xml:space="preserve">U 2024. godini Razvojna agencija PORA KKŽ pružala je stručnu pomoć za pripremu sveukupno </w:t>
      </w:r>
      <w:r w:rsidRPr="00DD50FA">
        <w:rPr>
          <w:rFonts w:ascii="Times New Roman" w:hAnsi="Times New Roman"/>
          <w:b/>
          <w:sz w:val="24"/>
          <w:szCs w:val="24"/>
        </w:rPr>
        <w:t>56 projekata</w:t>
      </w:r>
      <w:r w:rsidRPr="00DD50FA">
        <w:rPr>
          <w:rFonts w:ascii="Times New Roman" w:hAnsi="Times New Roman"/>
          <w:bCs/>
          <w:sz w:val="24"/>
          <w:szCs w:val="24"/>
        </w:rPr>
        <w:t xml:space="preserve"> ukupne vrijednosti </w:t>
      </w:r>
      <w:r w:rsidRPr="00DD50FA">
        <w:rPr>
          <w:rFonts w:ascii="Times New Roman" w:eastAsia="Calibri" w:hAnsi="Times New Roman" w:cs="Times New Roman"/>
          <w:b/>
          <w:bCs/>
          <w:color w:val="000000"/>
          <w:sz w:val="24"/>
          <w:szCs w:val="24"/>
        </w:rPr>
        <w:t xml:space="preserve">32.085.369,20 </w:t>
      </w:r>
      <w:r w:rsidRPr="00DD50FA">
        <w:rPr>
          <w:rFonts w:ascii="Times New Roman" w:eastAsia="Times New Roman" w:hAnsi="Times New Roman" w:cs="Times New Roman"/>
          <w:b/>
          <w:sz w:val="24"/>
          <w:szCs w:val="24"/>
          <w:lang w:eastAsia="hr-HR"/>
        </w:rPr>
        <w:t xml:space="preserve">EUR. </w:t>
      </w:r>
      <w:r w:rsidRPr="00DD50FA">
        <w:rPr>
          <w:rFonts w:ascii="Times New Roman" w:eastAsia="Calibri" w:hAnsi="Times New Roman" w:cs="Times New Roman"/>
          <w:sz w:val="24"/>
          <w:szCs w:val="24"/>
          <w:shd w:val="clear" w:color="auto" w:fill="FFFFFF"/>
        </w:rPr>
        <w:t xml:space="preserve">Od </w:t>
      </w:r>
      <w:r w:rsidRPr="00DD50FA">
        <w:rPr>
          <w:rFonts w:ascii="Times New Roman" w:eastAsia="Calibri" w:hAnsi="Times New Roman" w:cs="Times New Roman"/>
          <w:b/>
          <w:bCs/>
          <w:sz w:val="24"/>
          <w:szCs w:val="24"/>
          <w:shd w:val="clear" w:color="auto" w:fill="FFFFFF"/>
        </w:rPr>
        <w:t>56 pripremljenih projekata, njih 24</w:t>
      </w:r>
      <w:r w:rsidRPr="00DD50FA">
        <w:rPr>
          <w:rFonts w:ascii="Times New Roman" w:eastAsia="Calibri" w:hAnsi="Times New Roman" w:cs="Times New Roman"/>
          <w:sz w:val="24"/>
          <w:szCs w:val="24"/>
          <w:shd w:val="clear" w:color="auto" w:fill="FFFFFF"/>
        </w:rPr>
        <w:t xml:space="preserve"> se odnosi na projekte financirane iz Poziva iz Nacionalnog plana oporavka i otpornosti 2021.-2026., </w:t>
      </w:r>
      <w:r w:rsidRPr="00DD50FA">
        <w:rPr>
          <w:rFonts w:ascii="Times New Roman" w:eastAsia="Calibri" w:hAnsi="Times New Roman" w:cs="Times New Roman"/>
          <w:b/>
          <w:bCs/>
          <w:sz w:val="24"/>
          <w:szCs w:val="24"/>
          <w:shd w:val="clear" w:color="auto" w:fill="FFFFFF"/>
        </w:rPr>
        <w:t>16 projekata</w:t>
      </w:r>
      <w:r w:rsidRPr="00DD50FA">
        <w:rPr>
          <w:rFonts w:ascii="Times New Roman" w:eastAsia="Calibri" w:hAnsi="Times New Roman" w:cs="Times New Roman"/>
          <w:sz w:val="24"/>
          <w:szCs w:val="24"/>
          <w:shd w:val="clear" w:color="auto" w:fill="FFFFFF"/>
        </w:rPr>
        <w:t xml:space="preserve"> ukupne vrijednosti 462.000,00 EUR prijavljeno je na </w:t>
      </w:r>
      <w:r w:rsidRPr="00DD50FA">
        <w:rPr>
          <w:rFonts w:ascii="Times New Roman" w:eastAsia="Calibri" w:hAnsi="Times New Roman" w:cs="Times New Roman"/>
          <w:i/>
          <w:iCs/>
          <w:sz w:val="24"/>
          <w:szCs w:val="24"/>
          <w:shd w:val="clear" w:color="auto" w:fill="FFFFFF"/>
        </w:rPr>
        <w:t>Poziv na dodjelu bespovratnih sredstava „Izrada prostornih planova nove generacije putem elektroničkog sustava „ePLANOVI““</w:t>
      </w:r>
      <w:r w:rsidRPr="00DD50FA">
        <w:rPr>
          <w:rFonts w:ascii="Times New Roman" w:eastAsia="Calibri" w:hAnsi="Times New Roman" w:cs="Times New Roman"/>
          <w:sz w:val="24"/>
          <w:szCs w:val="24"/>
          <w:shd w:val="clear" w:color="auto" w:fill="FFFFFF"/>
        </w:rPr>
        <w:t xml:space="preserve">, </w:t>
      </w:r>
      <w:r w:rsidRPr="00DD50FA">
        <w:rPr>
          <w:rFonts w:ascii="Times New Roman" w:eastAsia="Calibri" w:hAnsi="Times New Roman" w:cs="Times New Roman"/>
          <w:b/>
          <w:bCs/>
          <w:sz w:val="24"/>
          <w:szCs w:val="24"/>
          <w:shd w:val="clear" w:color="auto" w:fill="FFFFFF"/>
        </w:rPr>
        <w:t>3</w:t>
      </w:r>
      <w:r w:rsidRPr="00DD50FA">
        <w:rPr>
          <w:rFonts w:ascii="Times New Roman" w:eastAsia="Calibri" w:hAnsi="Times New Roman" w:cs="Times New Roman"/>
          <w:sz w:val="24"/>
          <w:szCs w:val="24"/>
          <w:shd w:val="clear" w:color="auto" w:fill="FFFFFF"/>
        </w:rPr>
        <w:t xml:space="preserve"> </w:t>
      </w:r>
      <w:r w:rsidRPr="00DD50FA">
        <w:rPr>
          <w:rFonts w:ascii="Times New Roman" w:eastAsia="Calibri" w:hAnsi="Times New Roman" w:cs="Times New Roman"/>
          <w:b/>
          <w:bCs/>
          <w:sz w:val="24"/>
          <w:szCs w:val="24"/>
          <w:shd w:val="clear" w:color="auto" w:fill="FFFFFF"/>
        </w:rPr>
        <w:t>projekta</w:t>
      </w:r>
      <w:r w:rsidRPr="00DD50FA">
        <w:rPr>
          <w:rFonts w:ascii="Times New Roman" w:eastAsia="Calibri" w:hAnsi="Times New Roman" w:cs="Times New Roman"/>
          <w:sz w:val="24"/>
          <w:szCs w:val="24"/>
          <w:shd w:val="clear" w:color="auto" w:fill="FFFFFF"/>
        </w:rPr>
        <w:t xml:space="preserve"> na </w:t>
      </w:r>
      <w:r w:rsidRPr="00DD50FA">
        <w:rPr>
          <w:rFonts w:ascii="Times New Roman" w:eastAsia="Calibri" w:hAnsi="Times New Roman" w:cs="Times New Roman"/>
          <w:i/>
          <w:iCs/>
          <w:sz w:val="24"/>
          <w:szCs w:val="24"/>
          <w:shd w:val="clear" w:color="auto" w:fill="FFFFFF"/>
        </w:rPr>
        <w:t xml:space="preserve">Ograničeni poziv na dodjelu bespovratnih sredstava „Specijalističko usavršavanje medicinskih sestara i tehničara u djelatnosti hitne medicine“ </w:t>
      </w:r>
      <w:r w:rsidRPr="00DD50FA">
        <w:rPr>
          <w:rFonts w:ascii="Times New Roman" w:eastAsia="Calibri" w:hAnsi="Times New Roman" w:cs="Times New Roman"/>
          <w:sz w:val="24"/>
          <w:szCs w:val="24"/>
          <w:shd w:val="clear" w:color="auto" w:fill="FFFFFF"/>
        </w:rPr>
        <w:t xml:space="preserve">ukupne vrijednosti 410.684,71 EUR, zatim </w:t>
      </w:r>
      <w:r w:rsidRPr="00DD50FA">
        <w:rPr>
          <w:rFonts w:ascii="Times New Roman" w:eastAsia="Calibri" w:hAnsi="Times New Roman" w:cs="Times New Roman"/>
          <w:b/>
          <w:bCs/>
          <w:sz w:val="24"/>
          <w:szCs w:val="24"/>
          <w:shd w:val="clear" w:color="auto" w:fill="FFFFFF"/>
        </w:rPr>
        <w:t>1 projekt</w:t>
      </w:r>
      <w:r w:rsidRPr="00DD50FA">
        <w:rPr>
          <w:rFonts w:ascii="Times New Roman" w:eastAsia="Calibri" w:hAnsi="Times New Roman" w:cs="Times New Roman"/>
          <w:sz w:val="24"/>
          <w:szCs w:val="24"/>
          <w:shd w:val="clear" w:color="auto" w:fill="FFFFFF"/>
        </w:rPr>
        <w:t xml:space="preserve"> na </w:t>
      </w:r>
      <w:r w:rsidRPr="00DD50FA">
        <w:rPr>
          <w:rFonts w:ascii="Times New Roman" w:eastAsia="Calibri" w:hAnsi="Times New Roman" w:cs="Times New Roman"/>
          <w:i/>
          <w:iCs/>
          <w:sz w:val="24"/>
          <w:szCs w:val="24"/>
          <w:shd w:val="clear" w:color="auto" w:fill="FFFFFF"/>
        </w:rPr>
        <w:t xml:space="preserve">Poziv na dostavu projektnih prijedloga „Uspostava reciklažnih dvorišta“, </w:t>
      </w:r>
      <w:r w:rsidRPr="00DD50FA">
        <w:rPr>
          <w:rFonts w:ascii="Times New Roman" w:eastAsia="Calibri" w:hAnsi="Times New Roman" w:cs="Times New Roman"/>
          <w:b/>
          <w:bCs/>
          <w:sz w:val="24"/>
          <w:szCs w:val="24"/>
          <w:shd w:val="clear" w:color="auto" w:fill="FFFFFF"/>
        </w:rPr>
        <w:t>1</w:t>
      </w:r>
      <w:r w:rsidRPr="00DD50FA">
        <w:rPr>
          <w:rFonts w:ascii="Times New Roman" w:eastAsia="Calibri" w:hAnsi="Times New Roman" w:cs="Times New Roman"/>
          <w:i/>
          <w:iCs/>
          <w:sz w:val="24"/>
          <w:szCs w:val="24"/>
          <w:shd w:val="clear" w:color="auto" w:fill="FFFFFF"/>
        </w:rPr>
        <w:t xml:space="preserve"> </w:t>
      </w:r>
      <w:r w:rsidRPr="00DD50FA">
        <w:rPr>
          <w:rFonts w:ascii="Times New Roman" w:eastAsia="Calibri" w:hAnsi="Times New Roman" w:cs="Times New Roman"/>
          <w:b/>
          <w:bCs/>
          <w:sz w:val="24"/>
          <w:szCs w:val="24"/>
          <w:shd w:val="clear" w:color="auto" w:fill="FFFFFF"/>
        </w:rPr>
        <w:t>projekt</w:t>
      </w:r>
      <w:r w:rsidRPr="00DD50FA">
        <w:rPr>
          <w:rFonts w:ascii="Times New Roman" w:eastAsia="Calibri" w:hAnsi="Times New Roman" w:cs="Times New Roman"/>
          <w:sz w:val="24"/>
          <w:szCs w:val="24"/>
          <w:shd w:val="clear" w:color="auto" w:fill="FFFFFF"/>
        </w:rPr>
        <w:t xml:space="preserve"> na</w:t>
      </w:r>
      <w:r w:rsidRPr="00DD50FA">
        <w:rPr>
          <w:rFonts w:ascii="Times New Roman" w:eastAsia="Calibri" w:hAnsi="Times New Roman" w:cs="Times New Roman"/>
          <w:i/>
          <w:iCs/>
          <w:sz w:val="24"/>
          <w:szCs w:val="24"/>
          <w:shd w:val="clear" w:color="auto" w:fill="FFFFFF"/>
        </w:rPr>
        <w:t xml:space="preserve"> Poziv na dodjelu bespovratnih sredstava „Izgradnja, rekonstrukcija i opremanje srednjih škola“ </w:t>
      </w:r>
      <w:r w:rsidRPr="00DD50FA">
        <w:rPr>
          <w:rFonts w:ascii="Times New Roman" w:eastAsia="Calibri" w:hAnsi="Times New Roman" w:cs="Times New Roman"/>
          <w:sz w:val="24"/>
          <w:szCs w:val="24"/>
          <w:shd w:val="clear" w:color="auto" w:fill="FFFFFF"/>
        </w:rPr>
        <w:t>te</w:t>
      </w:r>
      <w:r w:rsidRPr="00DD50FA">
        <w:rPr>
          <w:rFonts w:ascii="Times New Roman" w:eastAsia="Calibri" w:hAnsi="Times New Roman" w:cs="Times New Roman"/>
          <w:i/>
          <w:iCs/>
          <w:sz w:val="24"/>
          <w:szCs w:val="24"/>
          <w:shd w:val="clear" w:color="auto" w:fill="FFFFFF"/>
        </w:rPr>
        <w:t xml:space="preserve"> </w:t>
      </w:r>
      <w:r w:rsidRPr="00DD50FA">
        <w:rPr>
          <w:rFonts w:ascii="Times New Roman" w:eastAsia="Calibri" w:hAnsi="Times New Roman" w:cs="Times New Roman"/>
          <w:b/>
          <w:bCs/>
          <w:sz w:val="24"/>
          <w:szCs w:val="24"/>
          <w:shd w:val="clear" w:color="auto" w:fill="FFFFFF"/>
        </w:rPr>
        <w:t xml:space="preserve">3 projekta </w:t>
      </w:r>
      <w:r w:rsidRPr="00DD50FA">
        <w:rPr>
          <w:rFonts w:ascii="Times New Roman" w:eastAsia="Calibri" w:hAnsi="Times New Roman" w:cs="Times New Roman"/>
          <w:sz w:val="24"/>
          <w:szCs w:val="24"/>
          <w:shd w:val="clear" w:color="auto" w:fill="FFFFFF"/>
        </w:rPr>
        <w:t xml:space="preserve">ukupne vrijednosti 6,3 milijuna EUR na </w:t>
      </w:r>
      <w:r w:rsidRPr="00DD50FA">
        <w:rPr>
          <w:rFonts w:ascii="Times New Roman" w:eastAsia="Calibri" w:hAnsi="Times New Roman" w:cs="Times New Roman"/>
          <w:i/>
          <w:iCs/>
          <w:sz w:val="24"/>
          <w:szCs w:val="24"/>
          <w:shd w:val="clear" w:color="auto" w:fill="FFFFFF"/>
        </w:rPr>
        <w:t xml:space="preserve">Poziv „Izgradnja, rekonstrukcija i opremanje osnovnih škola za potrebe jednosmjenskog rada i cjelodnevne škole“. </w:t>
      </w:r>
      <w:r w:rsidRPr="00DD50FA">
        <w:rPr>
          <w:rFonts w:ascii="Times New Roman" w:eastAsia="Calibri" w:hAnsi="Times New Roman" w:cs="Times New Roman"/>
          <w:sz w:val="24"/>
          <w:szCs w:val="24"/>
          <w:shd w:val="clear" w:color="auto" w:fill="FFFFFF"/>
        </w:rPr>
        <w:t>Ukupno</w:t>
      </w:r>
      <w:r w:rsidRPr="00DD50FA">
        <w:rPr>
          <w:rFonts w:ascii="Times New Roman" w:eastAsia="Calibri" w:hAnsi="Times New Roman" w:cs="Times New Roman"/>
          <w:i/>
          <w:iCs/>
          <w:sz w:val="24"/>
          <w:szCs w:val="24"/>
          <w:shd w:val="clear" w:color="auto" w:fill="FFFFFF"/>
        </w:rPr>
        <w:t xml:space="preserve"> </w:t>
      </w:r>
      <w:r w:rsidRPr="00DD50FA">
        <w:rPr>
          <w:rFonts w:ascii="Times New Roman" w:eastAsia="Calibri" w:hAnsi="Times New Roman" w:cs="Times New Roman"/>
          <w:b/>
          <w:bCs/>
          <w:sz w:val="24"/>
          <w:szCs w:val="24"/>
          <w:shd w:val="clear" w:color="auto" w:fill="FFFFFF"/>
        </w:rPr>
        <w:t>14 projekata</w:t>
      </w:r>
      <w:r w:rsidRPr="00DD50FA">
        <w:rPr>
          <w:rFonts w:ascii="Times New Roman" w:eastAsia="Calibri" w:hAnsi="Times New Roman" w:cs="Times New Roman"/>
          <w:sz w:val="24"/>
          <w:szCs w:val="24"/>
          <w:shd w:val="clear" w:color="auto" w:fill="FFFFFF"/>
        </w:rPr>
        <w:t xml:space="preserve"> sveukupne vrijednosti 9,7 milijuna EUR pripremljeno je za prijavu na </w:t>
      </w:r>
      <w:r w:rsidRPr="00DD50FA">
        <w:rPr>
          <w:rFonts w:ascii="Times New Roman" w:eastAsia="Calibri" w:hAnsi="Times New Roman" w:cs="Times New Roman"/>
          <w:i/>
          <w:iCs/>
          <w:sz w:val="24"/>
          <w:szCs w:val="24"/>
          <w:shd w:val="clear" w:color="auto" w:fill="FFFFFF"/>
        </w:rPr>
        <w:t>Natječaj za provedbu intervencije 73.13. Potpora javnoj infrastrukturi u ruralnim područjima</w:t>
      </w:r>
      <w:r w:rsidRPr="00DD50FA">
        <w:rPr>
          <w:rFonts w:ascii="Times New Roman" w:eastAsia="Calibri" w:hAnsi="Times New Roman" w:cs="Times New Roman"/>
          <w:sz w:val="24"/>
          <w:szCs w:val="24"/>
          <w:shd w:val="clear" w:color="auto" w:fill="FFFFFF"/>
        </w:rPr>
        <w:t xml:space="preserve"> (nerazvrstane ceste) od čega je prijavljeno 13 projekata te </w:t>
      </w:r>
      <w:r w:rsidRPr="00DD50FA">
        <w:rPr>
          <w:rFonts w:ascii="Times New Roman" w:eastAsia="Calibri" w:hAnsi="Times New Roman" w:cs="Times New Roman"/>
          <w:b/>
          <w:bCs/>
          <w:sz w:val="24"/>
          <w:szCs w:val="24"/>
          <w:shd w:val="clear" w:color="auto" w:fill="FFFFFF"/>
        </w:rPr>
        <w:t>1 projekt</w:t>
      </w:r>
      <w:r w:rsidRPr="00DD50FA">
        <w:rPr>
          <w:rFonts w:ascii="Times New Roman" w:eastAsia="Calibri" w:hAnsi="Times New Roman" w:cs="Times New Roman"/>
          <w:sz w:val="24"/>
          <w:szCs w:val="24"/>
          <w:shd w:val="clear" w:color="auto" w:fill="FFFFFF"/>
        </w:rPr>
        <w:t xml:space="preserve"> za intervenciju 77.03, Potpora za EIP operativne skupine, također iz Strateškog plana Zajedničke poljoprivredne politike Republike Hrvatske 2023.-2027. Pripremljeno</w:t>
      </w:r>
      <w:r w:rsidRPr="00DD50FA">
        <w:rPr>
          <w:rFonts w:ascii="Times New Roman" w:eastAsia="Calibri" w:hAnsi="Times New Roman" w:cs="Times New Roman"/>
          <w:b/>
          <w:bCs/>
          <w:sz w:val="24"/>
          <w:szCs w:val="24"/>
          <w:shd w:val="clear" w:color="auto" w:fill="FFFFFF"/>
        </w:rPr>
        <w:t xml:space="preserve"> </w:t>
      </w:r>
      <w:r w:rsidRPr="00DD50FA">
        <w:rPr>
          <w:rFonts w:ascii="Times New Roman" w:eastAsia="Calibri" w:hAnsi="Times New Roman" w:cs="Times New Roman"/>
          <w:sz w:val="24"/>
          <w:szCs w:val="24"/>
          <w:shd w:val="clear" w:color="auto" w:fill="FFFFFF"/>
        </w:rPr>
        <w:t xml:space="preserve">i prijavljeno je </w:t>
      </w:r>
      <w:r w:rsidRPr="00DD50FA">
        <w:rPr>
          <w:rFonts w:ascii="Times New Roman" w:eastAsia="Calibri" w:hAnsi="Times New Roman" w:cs="Times New Roman"/>
          <w:b/>
          <w:bCs/>
          <w:sz w:val="24"/>
          <w:szCs w:val="24"/>
          <w:shd w:val="clear" w:color="auto" w:fill="FFFFFF"/>
        </w:rPr>
        <w:t xml:space="preserve">15 projekata </w:t>
      </w:r>
      <w:r w:rsidRPr="00DD50FA">
        <w:rPr>
          <w:rFonts w:ascii="Times New Roman" w:eastAsia="Calibri" w:hAnsi="Times New Roman" w:cs="Times New Roman"/>
          <w:sz w:val="24"/>
          <w:szCs w:val="24"/>
          <w:shd w:val="clear" w:color="auto" w:fill="FFFFFF"/>
        </w:rPr>
        <w:t xml:space="preserve">na pozive koji se financiraju iz Europskog fonda za regionalni razvoj, </w:t>
      </w:r>
      <w:r w:rsidRPr="00DD50FA">
        <w:rPr>
          <w:rFonts w:ascii="Times New Roman" w:eastAsia="Calibri" w:hAnsi="Times New Roman" w:cs="Times New Roman"/>
          <w:b/>
          <w:bCs/>
          <w:sz w:val="24"/>
          <w:szCs w:val="24"/>
          <w:shd w:val="clear" w:color="auto" w:fill="FFFFFF"/>
        </w:rPr>
        <w:t>1 projekt</w:t>
      </w:r>
      <w:r w:rsidRPr="00DD50FA">
        <w:rPr>
          <w:rFonts w:ascii="Times New Roman" w:eastAsia="Calibri" w:hAnsi="Times New Roman" w:cs="Times New Roman"/>
          <w:sz w:val="24"/>
          <w:szCs w:val="24"/>
          <w:shd w:val="clear" w:color="auto" w:fill="FFFFFF"/>
        </w:rPr>
        <w:t xml:space="preserve"> na </w:t>
      </w:r>
      <w:r w:rsidRPr="00DD50FA">
        <w:rPr>
          <w:rFonts w:ascii="Times New Roman" w:eastAsia="Calibri" w:hAnsi="Times New Roman" w:cs="Times New Roman"/>
          <w:i/>
          <w:iCs/>
          <w:sz w:val="24"/>
          <w:szCs w:val="24"/>
          <w:shd w:val="clear" w:color="auto" w:fill="FFFFFF"/>
        </w:rPr>
        <w:t>Poziv na dodjelu bespovratnih sredstava „Obnova javne kulturne infrastrukture“</w:t>
      </w:r>
      <w:r w:rsidRPr="00DD50FA">
        <w:rPr>
          <w:rFonts w:ascii="Times New Roman" w:eastAsia="Calibri" w:hAnsi="Times New Roman" w:cs="Times New Roman"/>
          <w:sz w:val="24"/>
          <w:szCs w:val="24"/>
          <w:shd w:val="clear" w:color="auto" w:fill="FFFFFF"/>
        </w:rPr>
        <w:t xml:space="preserve">, </w:t>
      </w:r>
      <w:r w:rsidRPr="00DD50FA">
        <w:rPr>
          <w:rFonts w:ascii="Times New Roman" w:eastAsia="Calibri" w:hAnsi="Times New Roman" w:cs="Times New Roman"/>
          <w:b/>
          <w:bCs/>
          <w:sz w:val="24"/>
          <w:szCs w:val="24"/>
          <w:shd w:val="clear" w:color="auto" w:fill="FFFFFF"/>
        </w:rPr>
        <w:t xml:space="preserve">3 projekta </w:t>
      </w:r>
      <w:r w:rsidRPr="00DD50FA">
        <w:rPr>
          <w:rFonts w:ascii="Times New Roman" w:eastAsia="Calibri" w:hAnsi="Times New Roman" w:cs="Times New Roman"/>
          <w:sz w:val="24"/>
          <w:szCs w:val="24"/>
          <w:shd w:val="clear" w:color="auto" w:fill="FFFFFF"/>
        </w:rPr>
        <w:t>ukupne vrijednosti 1,4 milijuna EUR</w:t>
      </w:r>
      <w:r w:rsidRPr="00DD50FA">
        <w:rPr>
          <w:rFonts w:ascii="Times New Roman" w:eastAsia="Calibri" w:hAnsi="Times New Roman" w:cs="Times New Roman"/>
          <w:b/>
          <w:bCs/>
          <w:sz w:val="24"/>
          <w:szCs w:val="24"/>
          <w:shd w:val="clear" w:color="auto" w:fill="FFFFFF"/>
        </w:rPr>
        <w:t xml:space="preserve"> </w:t>
      </w:r>
      <w:r w:rsidRPr="00DD50FA">
        <w:rPr>
          <w:rFonts w:ascii="Times New Roman" w:eastAsia="Calibri" w:hAnsi="Times New Roman" w:cs="Times New Roman"/>
          <w:sz w:val="24"/>
          <w:szCs w:val="24"/>
          <w:shd w:val="clear" w:color="auto" w:fill="FFFFFF"/>
        </w:rPr>
        <w:t>na</w:t>
      </w:r>
      <w:r w:rsidRPr="00DD50FA">
        <w:rPr>
          <w:rFonts w:ascii="Times New Roman" w:eastAsia="Calibri" w:hAnsi="Times New Roman" w:cs="Times New Roman"/>
          <w:b/>
          <w:bCs/>
          <w:sz w:val="24"/>
          <w:szCs w:val="24"/>
          <w:shd w:val="clear" w:color="auto" w:fill="FFFFFF"/>
        </w:rPr>
        <w:t xml:space="preserve"> </w:t>
      </w:r>
      <w:r w:rsidRPr="00DD50FA">
        <w:rPr>
          <w:rFonts w:ascii="Times New Roman" w:eastAsia="Calibri" w:hAnsi="Times New Roman" w:cs="Times New Roman"/>
          <w:i/>
          <w:iCs/>
          <w:sz w:val="24"/>
          <w:szCs w:val="24"/>
          <w:shd w:val="clear" w:color="auto" w:fill="FFFFFF"/>
        </w:rPr>
        <w:t xml:space="preserve">Poziv na dodjelu bespovratnih sredstava „ITU - Sigurno povezani“, </w:t>
      </w:r>
      <w:r w:rsidRPr="00DD50FA">
        <w:rPr>
          <w:rFonts w:ascii="Times New Roman" w:eastAsia="Calibri" w:hAnsi="Times New Roman" w:cs="Times New Roman"/>
          <w:b/>
          <w:bCs/>
          <w:sz w:val="24"/>
          <w:szCs w:val="24"/>
          <w:shd w:val="clear" w:color="auto" w:fill="FFFFFF"/>
        </w:rPr>
        <w:t>3 projekta</w:t>
      </w:r>
      <w:r w:rsidRPr="00DD50FA">
        <w:rPr>
          <w:rFonts w:ascii="Times New Roman" w:eastAsia="Calibri" w:hAnsi="Times New Roman" w:cs="Times New Roman"/>
          <w:sz w:val="24"/>
          <w:szCs w:val="24"/>
          <w:shd w:val="clear" w:color="auto" w:fill="FFFFFF"/>
        </w:rPr>
        <w:t xml:space="preserve"> ukupne vrijednosti 510.000,00 EUR na </w:t>
      </w:r>
      <w:r w:rsidRPr="00DD50FA">
        <w:rPr>
          <w:rFonts w:ascii="Times New Roman" w:eastAsia="Calibri" w:hAnsi="Times New Roman" w:cs="Times New Roman"/>
          <w:i/>
          <w:iCs/>
          <w:sz w:val="24"/>
          <w:szCs w:val="24"/>
          <w:shd w:val="clear" w:color="auto" w:fill="FFFFFF"/>
        </w:rPr>
        <w:t xml:space="preserve">Poziv na dodjelu bespovratnih sredstava „Osiguravanje infrastrukturnih uvjeta za povećanje dostupnosti ranog i predškolskog odgoja i obrazovanja“, </w:t>
      </w:r>
      <w:r w:rsidRPr="00DD50FA">
        <w:rPr>
          <w:rFonts w:ascii="Times New Roman" w:eastAsia="Calibri" w:hAnsi="Times New Roman" w:cs="Times New Roman"/>
          <w:b/>
          <w:bCs/>
          <w:sz w:val="24"/>
          <w:szCs w:val="24"/>
          <w:shd w:val="clear" w:color="auto" w:fill="FFFFFF"/>
        </w:rPr>
        <w:t>7 projekata</w:t>
      </w:r>
      <w:r w:rsidRPr="00DD50FA">
        <w:rPr>
          <w:rFonts w:ascii="Times New Roman" w:eastAsia="Calibri" w:hAnsi="Times New Roman" w:cs="Times New Roman"/>
          <w:sz w:val="24"/>
          <w:szCs w:val="24"/>
          <w:shd w:val="clear" w:color="auto" w:fill="FFFFFF"/>
        </w:rPr>
        <w:t xml:space="preserve"> ukupne vrijednosti 5,6 milijuna EUR na </w:t>
      </w:r>
      <w:r w:rsidRPr="00DD50FA">
        <w:rPr>
          <w:rFonts w:ascii="Times New Roman" w:eastAsia="Calibri" w:hAnsi="Times New Roman" w:cs="Times New Roman"/>
          <w:i/>
          <w:iCs/>
          <w:sz w:val="24"/>
          <w:szCs w:val="24"/>
          <w:shd w:val="clear" w:color="auto" w:fill="FFFFFF"/>
        </w:rPr>
        <w:t xml:space="preserve">Prvi poziv u okviru programa prekogranične suradnje Interreg VI-A Mađarska-Hrvatska 2021.-2027., </w:t>
      </w:r>
      <w:r w:rsidRPr="00DD50FA">
        <w:rPr>
          <w:rFonts w:ascii="Times New Roman" w:eastAsia="Calibri" w:hAnsi="Times New Roman" w:cs="Times New Roman"/>
          <w:sz w:val="24"/>
          <w:szCs w:val="24"/>
          <w:shd w:val="clear" w:color="auto" w:fill="FFFFFF"/>
        </w:rPr>
        <w:t xml:space="preserve">te </w:t>
      </w:r>
      <w:r w:rsidRPr="00DD50FA">
        <w:rPr>
          <w:rFonts w:ascii="Times New Roman" w:eastAsia="Calibri" w:hAnsi="Times New Roman" w:cs="Times New Roman"/>
          <w:b/>
          <w:bCs/>
          <w:sz w:val="24"/>
          <w:szCs w:val="24"/>
          <w:shd w:val="clear" w:color="auto" w:fill="FFFFFF"/>
        </w:rPr>
        <w:t>1 projekt</w:t>
      </w:r>
      <w:r w:rsidRPr="00DD50FA">
        <w:rPr>
          <w:rFonts w:ascii="Times New Roman" w:eastAsia="Calibri" w:hAnsi="Times New Roman" w:cs="Times New Roman"/>
          <w:sz w:val="24"/>
          <w:szCs w:val="24"/>
          <w:shd w:val="clear" w:color="auto" w:fill="FFFFFF"/>
        </w:rPr>
        <w:t xml:space="preserve"> na</w:t>
      </w:r>
      <w:r w:rsidRPr="00DD50FA">
        <w:rPr>
          <w:rFonts w:ascii="Times New Roman" w:eastAsia="Calibri" w:hAnsi="Times New Roman" w:cs="Times New Roman"/>
          <w:i/>
          <w:iCs/>
          <w:sz w:val="24"/>
          <w:szCs w:val="24"/>
          <w:shd w:val="clear" w:color="auto" w:fill="FFFFFF"/>
        </w:rPr>
        <w:t xml:space="preserve"> Poziv na podnošenje prijedloga za operacije od strateške važnosti </w:t>
      </w:r>
      <w:r w:rsidRPr="00DD50FA">
        <w:rPr>
          <w:rFonts w:ascii="Times New Roman" w:eastAsia="Calibri" w:hAnsi="Times New Roman" w:cs="Times New Roman"/>
          <w:sz w:val="24"/>
          <w:szCs w:val="24"/>
          <w:shd w:val="clear" w:color="auto" w:fill="FFFFFF"/>
        </w:rPr>
        <w:t>također u okviru</w:t>
      </w:r>
      <w:r w:rsidRPr="00DD50FA">
        <w:rPr>
          <w:rFonts w:ascii="Times New Roman" w:eastAsia="Calibri" w:hAnsi="Times New Roman" w:cs="Times New Roman"/>
          <w:i/>
          <w:iCs/>
          <w:sz w:val="24"/>
          <w:szCs w:val="24"/>
          <w:shd w:val="clear" w:color="auto" w:fill="FFFFFF"/>
        </w:rPr>
        <w:t xml:space="preserve"> Interreg VI-A Programa Mađarska-Hrvatska. </w:t>
      </w:r>
      <w:r w:rsidRPr="00DD50FA">
        <w:rPr>
          <w:rFonts w:ascii="Times New Roman" w:eastAsia="Calibri" w:hAnsi="Times New Roman" w:cs="Times New Roman"/>
          <w:sz w:val="24"/>
          <w:szCs w:val="24"/>
          <w:shd w:val="clear" w:color="auto" w:fill="FFFFFF"/>
        </w:rPr>
        <w:t>Pripremljen je i prijavljen</w:t>
      </w:r>
      <w:r w:rsidRPr="00DD50FA">
        <w:rPr>
          <w:rFonts w:ascii="Times New Roman" w:eastAsia="Calibri" w:hAnsi="Times New Roman" w:cs="Times New Roman"/>
          <w:i/>
          <w:iCs/>
          <w:sz w:val="24"/>
          <w:szCs w:val="24"/>
          <w:shd w:val="clear" w:color="auto" w:fill="FFFFFF"/>
        </w:rPr>
        <w:t xml:space="preserve"> </w:t>
      </w:r>
      <w:r w:rsidRPr="00DD50FA">
        <w:rPr>
          <w:rFonts w:ascii="Times New Roman" w:eastAsia="Calibri" w:hAnsi="Times New Roman" w:cs="Times New Roman"/>
          <w:sz w:val="24"/>
          <w:szCs w:val="24"/>
          <w:shd w:val="clear" w:color="auto" w:fill="FFFFFF"/>
        </w:rPr>
        <w:t xml:space="preserve">i </w:t>
      </w:r>
      <w:r w:rsidRPr="00DD50FA">
        <w:rPr>
          <w:rFonts w:ascii="Times New Roman" w:eastAsia="Calibri" w:hAnsi="Times New Roman" w:cs="Times New Roman"/>
          <w:b/>
          <w:bCs/>
          <w:sz w:val="24"/>
          <w:szCs w:val="24"/>
          <w:shd w:val="clear" w:color="auto" w:fill="FFFFFF"/>
        </w:rPr>
        <w:t xml:space="preserve">1 projekt </w:t>
      </w:r>
      <w:r w:rsidRPr="00DD50FA">
        <w:rPr>
          <w:rFonts w:ascii="Times New Roman" w:eastAsia="Calibri" w:hAnsi="Times New Roman" w:cs="Times New Roman"/>
          <w:sz w:val="24"/>
          <w:szCs w:val="24"/>
          <w:shd w:val="clear" w:color="auto" w:fill="FFFFFF"/>
        </w:rPr>
        <w:t xml:space="preserve">na </w:t>
      </w:r>
      <w:r w:rsidRPr="00DD50FA">
        <w:rPr>
          <w:rFonts w:ascii="Times New Roman" w:eastAsia="Calibri" w:hAnsi="Times New Roman" w:cs="Times New Roman"/>
          <w:i/>
          <w:iCs/>
          <w:sz w:val="24"/>
          <w:szCs w:val="24"/>
          <w:shd w:val="clear" w:color="auto" w:fill="FFFFFF"/>
        </w:rPr>
        <w:t xml:space="preserve">Poziv na dostavu projektnih prijedloga „Izrada županijskih socijalnih planova“ </w:t>
      </w:r>
      <w:r w:rsidRPr="00DD50FA">
        <w:rPr>
          <w:rFonts w:ascii="Times New Roman" w:eastAsia="Calibri" w:hAnsi="Times New Roman" w:cs="Times New Roman"/>
          <w:sz w:val="24"/>
          <w:szCs w:val="24"/>
          <w:shd w:val="clear" w:color="auto" w:fill="FFFFFF"/>
        </w:rPr>
        <w:t xml:space="preserve">te </w:t>
      </w:r>
      <w:r w:rsidRPr="00DD50FA">
        <w:rPr>
          <w:rFonts w:ascii="Times New Roman" w:eastAsia="Calibri" w:hAnsi="Times New Roman" w:cs="Times New Roman"/>
          <w:b/>
          <w:bCs/>
          <w:sz w:val="24"/>
          <w:szCs w:val="24"/>
          <w:shd w:val="clear" w:color="auto" w:fill="FFFFFF"/>
        </w:rPr>
        <w:t>1 projekt</w:t>
      </w:r>
      <w:r w:rsidRPr="00DD50FA">
        <w:rPr>
          <w:rFonts w:ascii="Times New Roman" w:eastAsia="Calibri" w:hAnsi="Times New Roman" w:cs="Times New Roman"/>
          <w:i/>
          <w:iCs/>
          <w:sz w:val="24"/>
          <w:szCs w:val="24"/>
          <w:shd w:val="clear" w:color="auto" w:fill="FFFFFF"/>
        </w:rPr>
        <w:t xml:space="preserve"> </w:t>
      </w:r>
      <w:r w:rsidRPr="00DD50FA">
        <w:rPr>
          <w:rFonts w:ascii="Times New Roman" w:eastAsia="Calibri" w:hAnsi="Times New Roman" w:cs="Times New Roman"/>
          <w:sz w:val="24"/>
          <w:szCs w:val="24"/>
          <w:shd w:val="clear" w:color="auto" w:fill="FFFFFF"/>
        </w:rPr>
        <w:t xml:space="preserve">na </w:t>
      </w:r>
      <w:r w:rsidRPr="00DD50FA">
        <w:rPr>
          <w:rFonts w:ascii="Times New Roman" w:eastAsia="Calibri" w:hAnsi="Times New Roman" w:cs="Times New Roman"/>
          <w:i/>
          <w:iCs/>
          <w:sz w:val="24"/>
          <w:szCs w:val="24"/>
          <w:shd w:val="clear" w:color="auto" w:fill="FFFFFF"/>
        </w:rPr>
        <w:t>Poziv na dostavu projektnih prijedloga „Inkluzivne usluge ustanova u kulturi“</w:t>
      </w:r>
      <w:r w:rsidRPr="00DD50FA">
        <w:rPr>
          <w:rFonts w:ascii="Times New Roman" w:eastAsia="Calibri" w:hAnsi="Times New Roman" w:cs="Times New Roman"/>
          <w:sz w:val="24"/>
          <w:szCs w:val="24"/>
          <w:shd w:val="clear" w:color="auto" w:fill="FFFFFF"/>
        </w:rPr>
        <w:t xml:space="preserve"> koji su financirani iz Europskog socijalnog fonda +.</w:t>
      </w:r>
    </w:p>
    <w:p w14:paraId="7E931614" w14:textId="77777777" w:rsidR="001E37DF" w:rsidRPr="00DD50FA" w:rsidRDefault="001E37DF" w:rsidP="001E37DF">
      <w:pPr>
        <w:pStyle w:val="Default"/>
        <w:jc w:val="both"/>
        <w:rPr>
          <w:rFonts w:ascii="Times New Roman" w:hAnsi="Times New Roman"/>
          <w:bCs/>
          <w:color w:val="auto"/>
        </w:rPr>
      </w:pPr>
      <w:r w:rsidRPr="00DD50FA">
        <w:rPr>
          <w:rFonts w:ascii="Times New Roman" w:hAnsi="Times New Roman"/>
          <w:bCs/>
          <w:color w:val="auto"/>
        </w:rPr>
        <w:t xml:space="preserve">Stručna pomoć u pripremi pružena je za sveukupno </w:t>
      </w:r>
      <w:r w:rsidRPr="00DD50FA">
        <w:rPr>
          <w:rFonts w:ascii="Times New Roman" w:hAnsi="Times New Roman"/>
          <w:b/>
          <w:color w:val="auto"/>
        </w:rPr>
        <w:t>28 korisnika</w:t>
      </w:r>
      <w:r w:rsidRPr="00DD50FA">
        <w:rPr>
          <w:rFonts w:ascii="Times New Roman" w:hAnsi="Times New Roman"/>
          <w:bCs/>
          <w:color w:val="auto"/>
        </w:rPr>
        <w:t>, jedinica lokalne samouprave, jedinicu regionalne samouprave te ostala javnopravna tijela s područja Koprivničko-križevačke županije.</w:t>
      </w:r>
    </w:p>
    <w:p w14:paraId="6BC30B7A" w14:textId="77777777" w:rsidR="001E37DF" w:rsidRDefault="001E37DF" w:rsidP="001E37DF">
      <w:pPr>
        <w:pStyle w:val="Default"/>
        <w:jc w:val="both"/>
        <w:rPr>
          <w:rFonts w:ascii="Times New Roman" w:eastAsia="Calibri" w:hAnsi="Times New Roman" w:cs="Times New Roman"/>
          <w:i/>
          <w:iCs/>
          <w:color w:val="auto"/>
          <w:shd w:val="clear" w:color="auto" w:fill="FFFFFF"/>
        </w:rPr>
      </w:pPr>
    </w:p>
    <w:p w14:paraId="1455130B" w14:textId="77777777" w:rsidR="00191B90" w:rsidRDefault="00191B90" w:rsidP="001E37DF">
      <w:pPr>
        <w:pStyle w:val="Default"/>
        <w:jc w:val="both"/>
        <w:rPr>
          <w:rFonts w:ascii="Times New Roman" w:eastAsia="Calibri" w:hAnsi="Times New Roman" w:cs="Times New Roman"/>
          <w:i/>
          <w:iCs/>
          <w:color w:val="auto"/>
          <w:shd w:val="clear" w:color="auto" w:fill="FFFFFF"/>
        </w:rPr>
      </w:pPr>
    </w:p>
    <w:p w14:paraId="06CDCC0F" w14:textId="77777777" w:rsidR="00191B90" w:rsidRPr="00DD50FA" w:rsidRDefault="00191B90" w:rsidP="001E37DF">
      <w:pPr>
        <w:pStyle w:val="Default"/>
        <w:jc w:val="both"/>
        <w:rPr>
          <w:rFonts w:ascii="Times New Roman" w:eastAsia="Calibri" w:hAnsi="Times New Roman" w:cs="Times New Roman"/>
          <w:i/>
          <w:iCs/>
          <w:color w:val="auto"/>
          <w:shd w:val="clear" w:color="auto" w:fill="FFFFFF"/>
        </w:rPr>
      </w:pPr>
    </w:p>
    <w:p w14:paraId="349C3E3C" w14:textId="77777777" w:rsidR="001E37DF" w:rsidRPr="00DD50FA" w:rsidRDefault="001E37DF" w:rsidP="001E37DF">
      <w:pPr>
        <w:pStyle w:val="Heading3"/>
        <w:jc w:val="both"/>
        <w:rPr>
          <w:rFonts w:ascii="Times New Roman" w:eastAsia="Calibri" w:hAnsi="Times New Roman" w:cs="Times New Roman"/>
          <w:b/>
          <w:bCs/>
          <w:color w:val="auto"/>
        </w:rPr>
      </w:pPr>
      <w:bookmarkStart w:id="13" w:name="_Toc82430860"/>
      <w:bookmarkStart w:id="14" w:name="_Toc107984271"/>
      <w:r w:rsidRPr="00DD50FA">
        <w:rPr>
          <w:rStyle w:val="Heading3Char"/>
          <w:rFonts w:ascii="Times New Roman" w:hAnsi="Times New Roman" w:cs="Times New Roman"/>
          <w:b/>
          <w:bCs/>
          <w:color w:val="auto"/>
        </w:rPr>
        <w:lastRenderedPageBreak/>
        <w:t xml:space="preserve">3.2.2.2. </w:t>
      </w:r>
      <w:bookmarkEnd w:id="13"/>
      <w:bookmarkEnd w:id="14"/>
      <w:r w:rsidRPr="00DD50FA">
        <w:rPr>
          <w:rFonts w:ascii="Times New Roman" w:eastAsia="Calibri" w:hAnsi="Times New Roman" w:cs="Times New Roman"/>
          <w:b/>
          <w:bCs/>
          <w:color w:val="auto"/>
        </w:rPr>
        <w:t xml:space="preserve">POPIS PROJEKATA SUFINANCIRANIH IZ EU FONDOVA U KOJIMA JE RAZVOJNA AGENCIJA PORA KKŽ PRUŽALA STRUČNU POMOĆ </w:t>
      </w:r>
      <w:r w:rsidRPr="00DD50FA">
        <w:rPr>
          <w:rFonts w:ascii="Times New Roman" w:eastAsia="Calibri" w:hAnsi="Times New Roman" w:cs="Times New Roman"/>
          <w:b/>
          <w:bCs/>
          <w:color w:val="auto"/>
          <w:u w:val="single"/>
        </w:rPr>
        <w:t>U PROVEDBI</w:t>
      </w:r>
      <w:r w:rsidRPr="00DD50FA">
        <w:rPr>
          <w:rFonts w:ascii="Times New Roman" w:eastAsia="Calibri" w:hAnsi="Times New Roman" w:cs="Times New Roman"/>
          <w:b/>
          <w:bCs/>
          <w:color w:val="auto"/>
        </w:rPr>
        <w:t xml:space="preserve"> ZA JAVNOPRAVNA TIJELA S PODRUČJA KKŽ </w:t>
      </w:r>
    </w:p>
    <w:p w14:paraId="690C4176" w14:textId="77777777" w:rsidR="001E37DF" w:rsidRPr="00DD50FA" w:rsidRDefault="001E37DF" w:rsidP="001E37DF">
      <w:pPr>
        <w:spacing w:after="0" w:line="240" w:lineRule="auto"/>
        <w:jc w:val="both"/>
        <w:rPr>
          <w:rFonts w:ascii="Times New Roman" w:eastAsia="Calibri" w:hAnsi="Times New Roman" w:cs="Times New Roman"/>
          <w:b/>
          <w:sz w:val="24"/>
          <w:szCs w:val="24"/>
        </w:rPr>
      </w:pPr>
    </w:p>
    <w:tbl>
      <w:tblPr>
        <w:tblW w:w="9488" w:type="dxa"/>
        <w:jc w:val="center"/>
        <w:tblLayout w:type="fixed"/>
        <w:tblLook w:val="04A0" w:firstRow="1" w:lastRow="0" w:firstColumn="1" w:lastColumn="0" w:noHBand="0" w:noVBand="1"/>
      </w:tblPr>
      <w:tblGrid>
        <w:gridCol w:w="709"/>
        <w:gridCol w:w="3676"/>
        <w:gridCol w:w="1134"/>
        <w:gridCol w:w="1984"/>
        <w:gridCol w:w="1985"/>
      </w:tblGrid>
      <w:tr w:rsidR="001E37DF" w:rsidRPr="00F120D7" w14:paraId="3D51633D" w14:textId="77777777" w:rsidTr="00C37BF6">
        <w:trPr>
          <w:trHeight w:val="589"/>
          <w:jc w:val="center"/>
        </w:trPr>
        <w:tc>
          <w:tcPr>
            <w:tcW w:w="709"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6383884"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R.B.</w:t>
            </w:r>
          </w:p>
        </w:tc>
        <w:tc>
          <w:tcPr>
            <w:tcW w:w="3676" w:type="dxa"/>
            <w:tcBorders>
              <w:top w:val="single" w:sz="8" w:space="0" w:color="auto"/>
              <w:left w:val="nil"/>
              <w:bottom w:val="single" w:sz="8" w:space="0" w:color="auto"/>
              <w:right w:val="single" w:sz="8" w:space="0" w:color="auto"/>
            </w:tcBorders>
            <w:shd w:val="clear" w:color="auto" w:fill="BFBFBF"/>
            <w:vAlign w:val="center"/>
            <w:hideMark/>
          </w:tcPr>
          <w:p w14:paraId="05DCE1F8"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PROJEKT</w:t>
            </w:r>
          </w:p>
        </w:tc>
        <w:tc>
          <w:tcPr>
            <w:tcW w:w="1134" w:type="dxa"/>
            <w:tcBorders>
              <w:top w:val="single" w:sz="8" w:space="0" w:color="auto"/>
              <w:left w:val="nil"/>
              <w:bottom w:val="single" w:sz="8" w:space="0" w:color="auto"/>
              <w:right w:val="single" w:sz="8" w:space="0" w:color="auto"/>
            </w:tcBorders>
            <w:shd w:val="clear" w:color="auto" w:fill="BFBFBF"/>
            <w:vAlign w:val="center"/>
            <w:hideMark/>
          </w:tcPr>
          <w:p w14:paraId="05D59B8C"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FOND</w:t>
            </w:r>
          </w:p>
        </w:tc>
        <w:tc>
          <w:tcPr>
            <w:tcW w:w="1984" w:type="dxa"/>
            <w:tcBorders>
              <w:top w:val="single" w:sz="4" w:space="0" w:color="auto"/>
              <w:left w:val="single" w:sz="8" w:space="0" w:color="auto"/>
              <w:bottom w:val="single" w:sz="8" w:space="0" w:color="auto"/>
              <w:right w:val="single" w:sz="8" w:space="0" w:color="auto"/>
            </w:tcBorders>
            <w:shd w:val="clear" w:color="auto" w:fill="BFBFBF"/>
            <w:vAlign w:val="center"/>
          </w:tcPr>
          <w:p w14:paraId="6EBD0307" w14:textId="77777777" w:rsidR="001E37DF" w:rsidRPr="00F120D7" w:rsidRDefault="001E37DF" w:rsidP="00C37BF6">
            <w:pPr>
              <w:spacing w:after="0" w:line="240" w:lineRule="auto"/>
              <w:jc w:val="center"/>
              <w:rPr>
                <w:rFonts w:ascii="Times New Roman" w:eastAsia="Times New Roman" w:hAnsi="Times New Roman" w:cs="Times New Roman"/>
                <w:b/>
                <w:bCs/>
                <w:lang w:eastAsia="hr-HR"/>
              </w:rPr>
            </w:pPr>
            <w:r w:rsidRPr="00F120D7">
              <w:rPr>
                <w:rFonts w:ascii="Times New Roman" w:eastAsia="Times New Roman" w:hAnsi="Times New Roman" w:cs="Times New Roman"/>
                <w:b/>
                <w:bCs/>
                <w:lang w:eastAsia="hr-HR"/>
              </w:rPr>
              <w:t>UKUPAN IZNOS U EUR</w:t>
            </w:r>
          </w:p>
        </w:tc>
        <w:tc>
          <w:tcPr>
            <w:tcW w:w="1985" w:type="dxa"/>
            <w:tcBorders>
              <w:top w:val="single" w:sz="4" w:space="0" w:color="auto"/>
              <w:left w:val="single" w:sz="8" w:space="0" w:color="auto"/>
              <w:bottom w:val="single" w:sz="8" w:space="0" w:color="auto"/>
              <w:right w:val="single" w:sz="8" w:space="0" w:color="auto"/>
            </w:tcBorders>
            <w:shd w:val="clear" w:color="auto" w:fill="BFBFBF"/>
            <w:vAlign w:val="center"/>
            <w:hideMark/>
          </w:tcPr>
          <w:p w14:paraId="642A1415" w14:textId="128A8F1B" w:rsidR="001E37DF" w:rsidRPr="00F120D7" w:rsidRDefault="00536A6C" w:rsidP="00C37BF6">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PRIJAVITELJ/ PARTNER</w:t>
            </w:r>
            <w:r w:rsidRPr="00F120D7">
              <w:rPr>
                <w:rFonts w:ascii="Times New Roman" w:eastAsia="Times New Roman" w:hAnsi="Times New Roman" w:cs="Times New Roman"/>
                <w:b/>
                <w:bCs/>
                <w:lang w:eastAsia="hr-HR"/>
              </w:rPr>
              <w:t xml:space="preserve"> PROJEKTA</w:t>
            </w:r>
          </w:p>
        </w:tc>
      </w:tr>
      <w:tr w:rsidR="001E37DF" w:rsidRPr="00F120D7" w14:paraId="3A96B0A8" w14:textId="77777777" w:rsidTr="00C37BF6">
        <w:trPr>
          <w:trHeight w:val="692"/>
          <w:jc w:val="center"/>
        </w:trPr>
        <w:tc>
          <w:tcPr>
            <w:tcW w:w="709" w:type="dxa"/>
            <w:tcBorders>
              <w:top w:val="nil"/>
              <w:left w:val="single" w:sz="8" w:space="0" w:color="auto"/>
              <w:bottom w:val="single" w:sz="8" w:space="0" w:color="auto"/>
              <w:right w:val="single" w:sz="8" w:space="0" w:color="auto"/>
            </w:tcBorders>
            <w:vAlign w:val="center"/>
            <w:hideMark/>
          </w:tcPr>
          <w:p w14:paraId="7658ED6E"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1.</w:t>
            </w:r>
          </w:p>
        </w:tc>
        <w:tc>
          <w:tcPr>
            <w:tcW w:w="3676" w:type="dxa"/>
            <w:tcBorders>
              <w:top w:val="nil"/>
              <w:left w:val="nil"/>
              <w:bottom w:val="single" w:sz="8" w:space="0" w:color="auto"/>
              <w:right w:val="single" w:sz="8" w:space="0" w:color="auto"/>
            </w:tcBorders>
            <w:vAlign w:val="center"/>
          </w:tcPr>
          <w:p w14:paraId="4C997FBC" w14:textId="77777777" w:rsidR="001E37DF" w:rsidRPr="00F120D7" w:rsidRDefault="001E37DF" w:rsidP="00C37BF6">
            <w:pPr>
              <w:autoSpaceDE w:val="0"/>
              <w:autoSpaceDN w:val="0"/>
              <w:adjustRightInd w:val="0"/>
              <w:spacing w:after="0" w:line="240" w:lineRule="auto"/>
              <w:rPr>
                <w:rFonts w:ascii="Times New Roman" w:eastAsia="Calibri" w:hAnsi="Times New Roman" w:cs="Times New Roman"/>
              </w:rPr>
            </w:pPr>
            <w:r w:rsidRPr="00F120D7">
              <w:rPr>
                <w:rFonts w:ascii="Times New Roman" w:hAnsi="Times New Roman" w:cs="Times New Roman"/>
              </w:rPr>
              <w:t>Projektno-tehnička dokumentacija za projekt „Regionalni centar za palijativnu medicinu i liječenje boli“</w:t>
            </w:r>
          </w:p>
        </w:tc>
        <w:tc>
          <w:tcPr>
            <w:tcW w:w="1134" w:type="dxa"/>
            <w:tcBorders>
              <w:top w:val="nil"/>
              <w:left w:val="nil"/>
              <w:bottom w:val="single" w:sz="8" w:space="0" w:color="auto"/>
              <w:right w:val="single" w:sz="8" w:space="0" w:color="auto"/>
            </w:tcBorders>
            <w:vAlign w:val="center"/>
          </w:tcPr>
          <w:p w14:paraId="37C622F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47393FFE"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hAnsi="Times New Roman" w:cs="Times New Roman"/>
              </w:rPr>
              <w:t>226.209,44</w:t>
            </w:r>
          </w:p>
        </w:tc>
        <w:tc>
          <w:tcPr>
            <w:tcW w:w="1985" w:type="dxa"/>
            <w:tcBorders>
              <w:top w:val="nil"/>
              <w:left w:val="single" w:sz="8" w:space="0" w:color="auto"/>
              <w:bottom w:val="single" w:sz="8" w:space="0" w:color="auto"/>
              <w:right w:val="single" w:sz="8" w:space="0" w:color="auto"/>
            </w:tcBorders>
            <w:vAlign w:val="center"/>
          </w:tcPr>
          <w:p w14:paraId="7A58C551" w14:textId="77777777" w:rsidR="001E37DF" w:rsidRPr="00F120D7" w:rsidRDefault="001E37DF" w:rsidP="00C37BF6">
            <w:pPr>
              <w:spacing w:after="0" w:line="240" w:lineRule="auto"/>
              <w:jc w:val="center"/>
              <w:rPr>
                <w:rFonts w:ascii="Times New Roman" w:eastAsia="Calibri" w:hAnsi="Times New Roman" w:cs="Times New Roman"/>
                <w:shd w:val="clear" w:color="auto" w:fill="FFFFFF"/>
              </w:rPr>
            </w:pPr>
            <w:r w:rsidRPr="00F120D7">
              <w:rPr>
                <w:rFonts w:ascii="Times New Roman" w:hAnsi="Times New Roman" w:cs="Times New Roman"/>
              </w:rPr>
              <w:t>Opća bolnica Koprivnica</w:t>
            </w:r>
          </w:p>
        </w:tc>
      </w:tr>
      <w:tr w:rsidR="001E37DF" w:rsidRPr="00F120D7" w14:paraId="10733999" w14:textId="77777777" w:rsidTr="00C37BF6">
        <w:trPr>
          <w:trHeight w:val="692"/>
          <w:jc w:val="center"/>
        </w:trPr>
        <w:tc>
          <w:tcPr>
            <w:tcW w:w="709" w:type="dxa"/>
            <w:tcBorders>
              <w:top w:val="nil"/>
              <w:left w:val="single" w:sz="8" w:space="0" w:color="auto"/>
              <w:bottom w:val="single" w:sz="8" w:space="0" w:color="auto"/>
              <w:right w:val="single" w:sz="8" w:space="0" w:color="auto"/>
            </w:tcBorders>
            <w:vAlign w:val="center"/>
            <w:hideMark/>
          </w:tcPr>
          <w:p w14:paraId="4203FD2A"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2.</w:t>
            </w:r>
          </w:p>
        </w:tc>
        <w:tc>
          <w:tcPr>
            <w:tcW w:w="3676" w:type="dxa"/>
            <w:tcBorders>
              <w:top w:val="nil"/>
              <w:left w:val="nil"/>
              <w:bottom w:val="single" w:sz="8" w:space="0" w:color="auto"/>
              <w:right w:val="single" w:sz="8" w:space="0" w:color="auto"/>
            </w:tcBorders>
            <w:vAlign w:val="center"/>
          </w:tcPr>
          <w:p w14:paraId="2E140FD2"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Projektno-tehnička dokumentacija za projekt „Izgradnja Srednje škole Koprivnica“</w:t>
            </w:r>
          </w:p>
        </w:tc>
        <w:tc>
          <w:tcPr>
            <w:tcW w:w="1134" w:type="dxa"/>
            <w:tcBorders>
              <w:top w:val="nil"/>
              <w:left w:val="nil"/>
              <w:bottom w:val="single" w:sz="8" w:space="0" w:color="auto"/>
              <w:right w:val="single" w:sz="8" w:space="0" w:color="auto"/>
            </w:tcBorders>
            <w:vAlign w:val="center"/>
          </w:tcPr>
          <w:p w14:paraId="52AFC3C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3BF696FD"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hAnsi="Times New Roman" w:cs="Times New Roman"/>
              </w:rPr>
              <w:t>266.606,94</w:t>
            </w:r>
          </w:p>
        </w:tc>
        <w:tc>
          <w:tcPr>
            <w:tcW w:w="1985" w:type="dxa"/>
            <w:tcBorders>
              <w:top w:val="nil"/>
              <w:left w:val="single" w:sz="8" w:space="0" w:color="auto"/>
              <w:bottom w:val="single" w:sz="8" w:space="0" w:color="auto"/>
              <w:right w:val="single" w:sz="8" w:space="0" w:color="auto"/>
            </w:tcBorders>
            <w:vAlign w:val="center"/>
          </w:tcPr>
          <w:p w14:paraId="7E0B3EC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Srednja škola Koprivnica</w:t>
            </w:r>
          </w:p>
        </w:tc>
      </w:tr>
      <w:tr w:rsidR="001E37DF" w:rsidRPr="00F120D7" w14:paraId="2080531F" w14:textId="77777777" w:rsidTr="00C37BF6">
        <w:trPr>
          <w:trHeight w:val="692"/>
          <w:jc w:val="center"/>
        </w:trPr>
        <w:tc>
          <w:tcPr>
            <w:tcW w:w="709" w:type="dxa"/>
            <w:tcBorders>
              <w:top w:val="nil"/>
              <w:left w:val="single" w:sz="8" w:space="0" w:color="auto"/>
              <w:bottom w:val="single" w:sz="8" w:space="0" w:color="auto"/>
              <w:right w:val="single" w:sz="8" w:space="0" w:color="auto"/>
            </w:tcBorders>
            <w:vAlign w:val="center"/>
          </w:tcPr>
          <w:p w14:paraId="2F756126"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3.</w:t>
            </w:r>
          </w:p>
        </w:tc>
        <w:tc>
          <w:tcPr>
            <w:tcW w:w="3676" w:type="dxa"/>
            <w:tcBorders>
              <w:top w:val="nil"/>
              <w:left w:val="nil"/>
              <w:bottom w:val="single" w:sz="8" w:space="0" w:color="auto"/>
              <w:right w:val="single" w:sz="8" w:space="0" w:color="auto"/>
            </w:tcBorders>
            <w:vAlign w:val="center"/>
          </w:tcPr>
          <w:p w14:paraId="451CBBFB" w14:textId="77777777" w:rsidR="001E37DF" w:rsidRPr="00F120D7" w:rsidRDefault="001E37DF" w:rsidP="00C37BF6">
            <w:pPr>
              <w:spacing w:after="0" w:line="240" w:lineRule="auto"/>
              <w:rPr>
                <w:rFonts w:ascii="Times New Roman" w:eastAsia="Calibri" w:hAnsi="Times New Roman" w:cs="Times New Roman"/>
              </w:rPr>
            </w:pPr>
            <w:r w:rsidRPr="00F120D7">
              <w:rPr>
                <w:rFonts w:ascii="Times New Roman" w:eastAsia="Calibri" w:hAnsi="Times New Roman" w:cs="Times New Roman"/>
              </w:rPr>
              <w:t>Priprema projektno-tehničke dokumentacije za projekt „Centar zaštite i spašavanja KKŽ“</w:t>
            </w:r>
          </w:p>
        </w:tc>
        <w:tc>
          <w:tcPr>
            <w:tcW w:w="1134" w:type="dxa"/>
            <w:tcBorders>
              <w:top w:val="nil"/>
              <w:left w:val="nil"/>
              <w:bottom w:val="single" w:sz="8" w:space="0" w:color="auto"/>
              <w:right w:val="single" w:sz="8" w:space="0" w:color="auto"/>
            </w:tcBorders>
            <w:vAlign w:val="center"/>
          </w:tcPr>
          <w:p w14:paraId="7A64697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792EFFE6"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 xml:space="preserve">246.603,72 </w:t>
            </w:r>
          </w:p>
        </w:tc>
        <w:tc>
          <w:tcPr>
            <w:tcW w:w="1985" w:type="dxa"/>
            <w:tcBorders>
              <w:top w:val="nil"/>
              <w:left w:val="single" w:sz="8" w:space="0" w:color="auto"/>
              <w:bottom w:val="single" w:sz="8" w:space="0" w:color="auto"/>
              <w:right w:val="single" w:sz="8" w:space="0" w:color="auto"/>
            </w:tcBorders>
            <w:vAlign w:val="center"/>
          </w:tcPr>
          <w:p w14:paraId="1B1C1C8F" w14:textId="77777777" w:rsidR="001E37DF" w:rsidRPr="00F120D7" w:rsidRDefault="001E37DF" w:rsidP="00C37BF6">
            <w:pPr>
              <w:spacing w:after="0" w:line="240" w:lineRule="auto"/>
              <w:jc w:val="center"/>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Koprivničko-križevačka županija</w:t>
            </w:r>
          </w:p>
        </w:tc>
      </w:tr>
      <w:tr w:rsidR="001E37DF" w:rsidRPr="00F120D7" w14:paraId="3A5983D5" w14:textId="77777777" w:rsidTr="00C37BF6">
        <w:trPr>
          <w:trHeight w:val="688"/>
          <w:jc w:val="center"/>
        </w:trPr>
        <w:tc>
          <w:tcPr>
            <w:tcW w:w="709" w:type="dxa"/>
            <w:tcBorders>
              <w:top w:val="nil"/>
              <w:left w:val="single" w:sz="8" w:space="0" w:color="auto"/>
              <w:bottom w:val="single" w:sz="8" w:space="0" w:color="auto"/>
              <w:right w:val="single" w:sz="8" w:space="0" w:color="auto"/>
            </w:tcBorders>
            <w:vAlign w:val="center"/>
          </w:tcPr>
          <w:p w14:paraId="76019670"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4.</w:t>
            </w:r>
          </w:p>
        </w:tc>
        <w:tc>
          <w:tcPr>
            <w:tcW w:w="3676" w:type="dxa"/>
            <w:tcBorders>
              <w:top w:val="nil"/>
              <w:left w:val="nil"/>
              <w:bottom w:val="single" w:sz="8" w:space="0" w:color="auto"/>
              <w:right w:val="single" w:sz="8" w:space="0" w:color="auto"/>
            </w:tcBorders>
            <w:vAlign w:val="center"/>
          </w:tcPr>
          <w:p w14:paraId="35F54026" w14:textId="77777777" w:rsidR="001E37DF" w:rsidRPr="00F120D7" w:rsidRDefault="001E37DF" w:rsidP="00C37BF6">
            <w:pPr>
              <w:spacing w:after="0" w:line="240" w:lineRule="auto"/>
              <w:rPr>
                <w:rFonts w:ascii="Times New Roman" w:eastAsia="Calibri" w:hAnsi="Times New Roman" w:cs="Times New Roman"/>
              </w:rPr>
            </w:pPr>
            <w:r w:rsidRPr="00F120D7">
              <w:rPr>
                <w:rFonts w:ascii="Times New Roman" w:hAnsi="Times New Roman" w:cs="Times New Roman"/>
              </w:rPr>
              <w:t xml:space="preserve">Priprema projektno-tehničke dokumentacije za projekt „Izgradnja bicikl. Pješačkih staza u naseljima V. Otok i Selnica Podr. u Legradu“ </w:t>
            </w:r>
          </w:p>
        </w:tc>
        <w:tc>
          <w:tcPr>
            <w:tcW w:w="1134" w:type="dxa"/>
            <w:tcBorders>
              <w:top w:val="nil"/>
              <w:left w:val="nil"/>
              <w:bottom w:val="single" w:sz="8" w:space="0" w:color="auto"/>
              <w:right w:val="single" w:sz="8" w:space="0" w:color="auto"/>
            </w:tcBorders>
            <w:vAlign w:val="center"/>
          </w:tcPr>
          <w:p w14:paraId="1CAAB63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5C1D2F99"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hAnsi="Times New Roman" w:cs="Times New Roman"/>
              </w:rPr>
              <w:t xml:space="preserve">                                              88.238,55 </w:t>
            </w:r>
          </w:p>
        </w:tc>
        <w:tc>
          <w:tcPr>
            <w:tcW w:w="1985" w:type="dxa"/>
            <w:tcBorders>
              <w:top w:val="nil"/>
              <w:left w:val="single" w:sz="8" w:space="0" w:color="auto"/>
              <w:bottom w:val="single" w:sz="8" w:space="0" w:color="auto"/>
              <w:right w:val="single" w:sz="8" w:space="0" w:color="auto"/>
            </w:tcBorders>
            <w:vAlign w:val="center"/>
          </w:tcPr>
          <w:p w14:paraId="66B7F5B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Općina Legrad</w:t>
            </w:r>
          </w:p>
        </w:tc>
      </w:tr>
      <w:tr w:rsidR="001E37DF" w:rsidRPr="00F120D7" w14:paraId="3FB64C46" w14:textId="77777777" w:rsidTr="00C37BF6">
        <w:trPr>
          <w:trHeight w:val="688"/>
          <w:jc w:val="center"/>
        </w:trPr>
        <w:tc>
          <w:tcPr>
            <w:tcW w:w="709" w:type="dxa"/>
            <w:tcBorders>
              <w:top w:val="nil"/>
              <w:left w:val="single" w:sz="8" w:space="0" w:color="auto"/>
              <w:bottom w:val="single" w:sz="8" w:space="0" w:color="auto"/>
              <w:right w:val="single" w:sz="8" w:space="0" w:color="auto"/>
            </w:tcBorders>
            <w:vAlign w:val="center"/>
          </w:tcPr>
          <w:p w14:paraId="172357E0"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5.</w:t>
            </w:r>
          </w:p>
        </w:tc>
        <w:tc>
          <w:tcPr>
            <w:tcW w:w="3676" w:type="dxa"/>
            <w:tcBorders>
              <w:top w:val="nil"/>
              <w:left w:val="nil"/>
              <w:bottom w:val="single" w:sz="8" w:space="0" w:color="auto"/>
              <w:right w:val="single" w:sz="8" w:space="0" w:color="auto"/>
            </w:tcBorders>
            <w:vAlign w:val="center"/>
          </w:tcPr>
          <w:p w14:paraId="41EEE984"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 xml:space="preserve">Priprema projektno-tehničke dokumentacije za projekt „Centar za posjetitelje“ </w:t>
            </w:r>
          </w:p>
        </w:tc>
        <w:tc>
          <w:tcPr>
            <w:tcW w:w="1134" w:type="dxa"/>
            <w:tcBorders>
              <w:top w:val="nil"/>
              <w:left w:val="nil"/>
              <w:bottom w:val="single" w:sz="8" w:space="0" w:color="auto"/>
              <w:right w:val="single" w:sz="8" w:space="0" w:color="auto"/>
            </w:tcBorders>
            <w:vAlign w:val="center"/>
          </w:tcPr>
          <w:p w14:paraId="05814F3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4CC79CEF"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hAnsi="Times New Roman" w:cs="Times New Roman"/>
              </w:rPr>
              <w:t xml:space="preserve">                                              79.356,96 </w:t>
            </w:r>
          </w:p>
        </w:tc>
        <w:tc>
          <w:tcPr>
            <w:tcW w:w="1985" w:type="dxa"/>
            <w:tcBorders>
              <w:top w:val="nil"/>
              <w:left w:val="single" w:sz="8" w:space="0" w:color="auto"/>
              <w:bottom w:val="single" w:sz="8" w:space="0" w:color="auto"/>
              <w:right w:val="single" w:sz="8" w:space="0" w:color="auto"/>
            </w:tcBorders>
            <w:vAlign w:val="center"/>
          </w:tcPr>
          <w:p w14:paraId="20DC550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Općina Legrad</w:t>
            </w:r>
          </w:p>
        </w:tc>
      </w:tr>
      <w:tr w:rsidR="001E37DF" w:rsidRPr="00F120D7" w14:paraId="2668E31F" w14:textId="77777777" w:rsidTr="00C37BF6">
        <w:trPr>
          <w:trHeight w:val="543"/>
          <w:jc w:val="center"/>
        </w:trPr>
        <w:tc>
          <w:tcPr>
            <w:tcW w:w="709" w:type="dxa"/>
            <w:tcBorders>
              <w:top w:val="nil"/>
              <w:left w:val="single" w:sz="8" w:space="0" w:color="auto"/>
              <w:bottom w:val="single" w:sz="8" w:space="0" w:color="auto"/>
              <w:right w:val="single" w:sz="8" w:space="0" w:color="auto"/>
            </w:tcBorders>
            <w:vAlign w:val="center"/>
            <w:hideMark/>
          </w:tcPr>
          <w:p w14:paraId="4F9900C1"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6.</w:t>
            </w:r>
          </w:p>
        </w:tc>
        <w:tc>
          <w:tcPr>
            <w:tcW w:w="3676" w:type="dxa"/>
            <w:tcBorders>
              <w:top w:val="nil"/>
              <w:left w:val="nil"/>
              <w:bottom w:val="single" w:sz="8" w:space="0" w:color="auto"/>
              <w:right w:val="single" w:sz="8" w:space="0" w:color="auto"/>
            </w:tcBorders>
            <w:vAlign w:val="center"/>
          </w:tcPr>
          <w:p w14:paraId="3BBED876"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Izgradnja i opremanje dječjeg igrališta u Peterancu (LAG Podravina)</w:t>
            </w:r>
          </w:p>
        </w:tc>
        <w:tc>
          <w:tcPr>
            <w:tcW w:w="1134" w:type="dxa"/>
            <w:tcBorders>
              <w:top w:val="nil"/>
              <w:left w:val="nil"/>
              <w:bottom w:val="single" w:sz="8" w:space="0" w:color="auto"/>
              <w:right w:val="single" w:sz="8" w:space="0" w:color="auto"/>
            </w:tcBorders>
            <w:vAlign w:val="center"/>
          </w:tcPr>
          <w:p w14:paraId="2382F35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EPFRR</w:t>
            </w:r>
          </w:p>
        </w:tc>
        <w:tc>
          <w:tcPr>
            <w:tcW w:w="1984" w:type="dxa"/>
            <w:tcBorders>
              <w:top w:val="nil"/>
              <w:left w:val="single" w:sz="8" w:space="0" w:color="auto"/>
              <w:bottom w:val="single" w:sz="8" w:space="0" w:color="auto"/>
              <w:right w:val="single" w:sz="8" w:space="0" w:color="auto"/>
            </w:tcBorders>
            <w:vAlign w:val="center"/>
          </w:tcPr>
          <w:p w14:paraId="71BF4871"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hAnsi="Times New Roman" w:cs="Times New Roman"/>
              </w:rPr>
              <w:t>66.752,11</w:t>
            </w:r>
          </w:p>
        </w:tc>
        <w:tc>
          <w:tcPr>
            <w:tcW w:w="1985" w:type="dxa"/>
            <w:tcBorders>
              <w:top w:val="nil"/>
              <w:left w:val="single" w:sz="8" w:space="0" w:color="auto"/>
              <w:bottom w:val="single" w:sz="8" w:space="0" w:color="auto"/>
              <w:right w:val="single" w:sz="8" w:space="0" w:color="auto"/>
            </w:tcBorders>
            <w:vAlign w:val="center"/>
          </w:tcPr>
          <w:p w14:paraId="524B1B73"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hAnsi="Times New Roman" w:cs="Times New Roman"/>
              </w:rPr>
              <w:t>Općina Peteranec</w:t>
            </w:r>
          </w:p>
        </w:tc>
      </w:tr>
      <w:tr w:rsidR="001E37DF" w:rsidRPr="00F120D7" w14:paraId="3648B896"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20DDD5A9" w14:textId="77777777" w:rsidR="001E37DF" w:rsidRPr="00F120D7" w:rsidRDefault="001E37DF" w:rsidP="00C37BF6">
            <w:pPr>
              <w:spacing w:after="0" w:line="240" w:lineRule="auto"/>
              <w:jc w:val="center"/>
              <w:rPr>
                <w:rFonts w:ascii="Times New Roman" w:eastAsia="Times New Roman" w:hAnsi="Times New Roman" w:cs="Times New Roman"/>
                <w:color w:val="000000"/>
                <w:lang w:eastAsia="hr-HR"/>
              </w:rPr>
            </w:pPr>
            <w:r w:rsidRPr="00F120D7">
              <w:rPr>
                <w:rFonts w:ascii="Times New Roman" w:eastAsia="Times New Roman" w:hAnsi="Times New Roman" w:cs="Times New Roman"/>
                <w:color w:val="000000"/>
                <w:lang w:eastAsia="hr-HR"/>
              </w:rPr>
              <w:t>7.</w:t>
            </w:r>
          </w:p>
        </w:tc>
        <w:tc>
          <w:tcPr>
            <w:tcW w:w="3676" w:type="dxa"/>
            <w:tcBorders>
              <w:top w:val="nil"/>
              <w:left w:val="nil"/>
              <w:bottom w:val="single" w:sz="8" w:space="0" w:color="auto"/>
              <w:right w:val="single" w:sz="8" w:space="0" w:color="auto"/>
            </w:tcBorders>
            <w:vAlign w:val="center"/>
          </w:tcPr>
          <w:p w14:paraId="795A6D1D" w14:textId="77777777" w:rsidR="001E37DF" w:rsidRPr="00F120D7" w:rsidRDefault="001E37DF" w:rsidP="00C37BF6">
            <w:pPr>
              <w:spacing w:after="0" w:line="240" w:lineRule="auto"/>
              <w:rPr>
                <w:rFonts w:ascii="Times New Roman" w:eastAsia="Calibri" w:hAnsi="Times New Roman" w:cs="Times New Roman"/>
              </w:rPr>
            </w:pPr>
            <w:r w:rsidRPr="00F120D7">
              <w:rPr>
                <w:rFonts w:ascii="Times New Roman" w:eastAsia="Calibri" w:hAnsi="Times New Roman" w:cs="Times New Roman"/>
              </w:rPr>
              <w:t>Rekonstrukcija ograde groblja u Goli (LAG Podravina)</w:t>
            </w:r>
          </w:p>
        </w:tc>
        <w:tc>
          <w:tcPr>
            <w:tcW w:w="1134" w:type="dxa"/>
            <w:tcBorders>
              <w:top w:val="nil"/>
              <w:left w:val="nil"/>
              <w:bottom w:val="single" w:sz="8" w:space="0" w:color="auto"/>
              <w:right w:val="single" w:sz="8" w:space="0" w:color="auto"/>
            </w:tcBorders>
            <w:vAlign w:val="center"/>
          </w:tcPr>
          <w:p w14:paraId="1D18DEA2"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EPFRR</w:t>
            </w:r>
          </w:p>
        </w:tc>
        <w:tc>
          <w:tcPr>
            <w:tcW w:w="1984" w:type="dxa"/>
            <w:tcBorders>
              <w:top w:val="nil"/>
              <w:left w:val="single" w:sz="8" w:space="0" w:color="auto"/>
              <w:bottom w:val="single" w:sz="8" w:space="0" w:color="auto"/>
              <w:right w:val="single" w:sz="8" w:space="0" w:color="auto"/>
            </w:tcBorders>
            <w:vAlign w:val="center"/>
          </w:tcPr>
          <w:p w14:paraId="5E21B24F"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46.305,77 </w:t>
            </w:r>
          </w:p>
        </w:tc>
        <w:tc>
          <w:tcPr>
            <w:tcW w:w="1985" w:type="dxa"/>
            <w:tcBorders>
              <w:top w:val="nil"/>
              <w:left w:val="single" w:sz="8" w:space="0" w:color="auto"/>
              <w:bottom w:val="single" w:sz="8" w:space="0" w:color="auto"/>
              <w:right w:val="single" w:sz="8" w:space="0" w:color="auto"/>
            </w:tcBorders>
            <w:vAlign w:val="center"/>
          </w:tcPr>
          <w:p w14:paraId="4DC26926"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Gola</w:t>
            </w:r>
          </w:p>
        </w:tc>
      </w:tr>
      <w:tr w:rsidR="001E37DF" w:rsidRPr="00F120D7" w14:paraId="40C2E8BB"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1EDE2DE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8.</w:t>
            </w:r>
          </w:p>
        </w:tc>
        <w:tc>
          <w:tcPr>
            <w:tcW w:w="3676" w:type="dxa"/>
            <w:tcBorders>
              <w:top w:val="nil"/>
              <w:left w:val="nil"/>
              <w:bottom w:val="single" w:sz="8" w:space="0" w:color="auto"/>
              <w:right w:val="single" w:sz="8" w:space="0" w:color="auto"/>
            </w:tcBorders>
            <w:vAlign w:val="center"/>
          </w:tcPr>
          <w:p w14:paraId="4C93E7D6" w14:textId="77777777" w:rsidR="001E37DF" w:rsidRPr="00F120D7" w:rsidRDefault="001E37DF" w:rsidP="00C37BF6">
            <w:pPr>
              <w:spacing w:after="0" w:line="240" w:lineRule="auto"/>
              <w:rPr>
                <w:rFonts w:ascii="Times New Roman" w:eastAsia="Calibri" w:hAnsi="Times New Roman" w:cs="Times New Roman"/>
              </w:rPr>
            </w:pPr>
            <w:r w:rsidRPr="00F120D7">
              <w:rPr>
                <w:rFonts w:ascii="Times New Roman" w:eastAsia="Calibri" w:hAnsi="Times New Roman" w:cs="Times New Roman"/>
              </w:rPr>
              <w:t>Rekonstrukcija ograde groblja u Hlebinama (LAG Podravina)</w:t>
            </w:r>
          </w:p>
        </w:tc>
        <w:tc>
          <w:tcPr>
            <w:tcW w:w="1134" w:type="dxa"/>
            <w:tcBorders>
              <w:top w:val="nil"/>
              <w:left w:val="nil"/>
              <w:bottom w:val="single" w:sz="8" w:space="0" w:color="auto"/>
              <w:right w:val="single" w:sz="8" w:space="0" w:color="auto"/>
            </w:tcBorders>
            <w:vAlign w:val="center"/>
          </w:tcPr>
          <w:p w14:paraId="6131CC5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EPFRR</w:t>
            </w:r>
          </w:p>
        </w:tc>
        <w:tc>
          <w:tcPr>
            <w:tcW w:w="1984" w:type="dxa"/>
            <w:tcBorders>
              <w:top w:val="nil"/>
              <w:left w:val="single" w:sz="8" w:space="0" w:color="auto"/>
              <w:bottom w:val="single" w:sz="8" w:space="0" w:color="auto"/>
              <w:right w:val="single" w:sz="8" w:space="0" w:color="auto"/>
            </w:tcBorders>
            <w:vAlign w:val="center"/>
          </w:tcPr>
          <w:p w14:paraId="4E781585"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44.593,20 </w:t>
            </w:r>
          </w:p>
        </w:tc>
        <w:tc>
          <w:tcPr>
            <w:tcW w:w="1985" w:type="dxa"/>
            <w:tcBorders>
              <w:top w:val="nil"/>
              <w:left w:val="single" w:sz="8" w:space="0" w:color="auto"/>
              <w:bottom w:val="single" w:sz="8" w:space="0" w:color="auto"/>
              <w:right w:val="single" w:sz="8" w:space="0" w:color="auto"/>
            </w:tcBorders>
            <w:vAlign w:val="center"/>
          </w:tcPr>
          <w:p w14:paraId="6FDE5DD7"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Hlebine</w:t>
            </w:r>
          </w:p>
        </w:tc>
      </w:tr>
      <w:tr w:rsidR="001E37DF" w:rsidRPr="00F120D7" w14:paraId="27C96935"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10672FDE"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 xml:space="preserve">  9.</w:t>
            </w:r>
          </w:p>
        </w:tc>
        <w:tc>
          <w:tcPr>
            <w:tcW w:w="3676" w:type="dxa"/>
            <w:tcBorders>
              <w:top w:val="nil"/>
              <w:left w:val="nil"/>
              <w:bottom w:val="single" w:sz="8" w:space="0" w:color="auto"/>
              <w:right w:val="single" w:sz="8" w:space="0" w:color="auto"/>
            </w:tcBorders>
            <w:vAlign w:val="center"/>
          </w:tcPr>
          <w:p w14:paraId="61A41AA2"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Gradnja i opremanje montažnih tribina na sportskom igralištu NK Graničar Novo Virje (LAG Podravina)</w:t>
            </w:r>
          </w:p>
        </w:tc>
        <w:tc>
          <w:tcPr>
            <w:tcW w:w="1134" w:type="dxa"/>
            <w:tcBorders>
              <w:top w:val="nil"/>
              <w:left w:val="nil"/>
              <w:bottom w:val="single" w:sz="8" w:space="0" w:color="auto"/>
              <w:right w:val="single" w:sz="8" w:space="0" w:color="auto"/>
            </w:tcBorders>
            <w:vAlign w:val="center"/>
          </w:tcPr>
          <w:p w14:paraId="6F9EA18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EPFRR</w:t>
            </w:r>
          </w:p>
        </w:tc>
        <w:tc>
          <w:tcPr>
            <w:tcW w:w="1984" w:type="dxa"/>
            <w:tcBorders>
              <w:top w:val="nil"/>
              <w:left w:val="single" w:sz="8" w:space="0" w:color="auto"/>
              <w:bottom w:val="single" w:sz="8" w:space="0" w:color="auto"/>
              <w:right w:val="single" w:sz="8" w:space="0" w:color="auto"/>
            </w:tcBorders>
            <w:vAlign w:val="center"/>
          </w:tcPr>
          <w:p w14:paraId="33A7885E"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 xml:space="preserve">34.744,34 </w:t>
            </w:r>
          </w:p>
        </w:tc>
        <w:tc>
          <w:tcPr>
            <w:tcW w:w="1985" w:type="dxa"/>
            <w:tcBorders>
              <w:top w:val="nil"/>
              <w:left w:val="single" w:sz="8" w:space="0" w:color="auto"/>
              <w:bottom w:val="single" w:sz="8" w:space="0" w:color="auto"/>
              <w:right w:val="single" w:sz="8" w:space="0" w:color="auto"/>
            </w:tcBorders>
            <w:vAlign w:val="center"/>
          </w:tcPr>
          <w:p w14:paraId="3D274D33"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Novo Virje</w:t>
            </w:r>
          </w:p>
        </w:tc>
      </w:tr>
      <w:tr w:rsidR="001E37DF" w:rsidRPr="00F120D7" w14:paraId="4D00333B"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4D5DB43"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10.</w:t>
            </w:r>
          </w:p>
        </w:tc>
        <w:tc>
          <w:tcPr>
            <w:tcW w:w="3676" w:type="dxa"/>
            <w:tcBorders>
              <w:top w:val="nil"/>
              <w:left w:val="nil"/>
              <w:bottom w:val="single" w:sz="8" w:space="0" w:color="auto"/>
              <w:right w:val="single" w:sz="8" w:space="0" w:color="auto"/>
            </w:tcBorders>
            <w:vAlign w:val="center"/>
          </w:tcPr>
          <w:p w14:paraId="4B497E58"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Dogradnja i opremanje dječjeg vrtića s jaslicama u Virju</w:t>
            </w:r>
          </w:p>
        </w:tc>
        <w:tc>
          <w:tcPr>
            <w:tcW w:w="1134" w:type="dxa"/>
            <w:tcBorders>
              <w:top w:val="nil"/>
              <w:left w:val="nil"/>
              <w:bottom w:val="single" w:sz="8" w:space="0" w:color="auto"/>
              <w:right w:val="single" w:sz="8" w:space="0" w:color="auto"/>
            </w:tcBorders>
            <w:vAlign w:val="center"/>
          </w:tcPr>
          <w:p w14:paraId="5D80CA1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30D693B3"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hAnsi="Times New Roman" w:cs="Times New Roman"/>
              </w:rPr>
              <w:t>324.905,43</w:t>
            </w:r>
          </w:p>
        </w:tc>
        <w:tc>
          <w:tcPr>
            <w:tcW w:w="1985" w:type="dxa"/>
            <w:tcBorders>
              <w:top w:val="nil"/>
              <w:left w:val="single" w:sz="8" w:space="0" w:color="auto"/>
              <w:bottom w:val="single" w:sz="8" w:space="0" w:color="auto"/>
              <w:right w:val="single" w:sz="8" w:space="0" w:color="auto"/>
            </w:tcBorders>
            <w:vAlign w:val="center"/>
          </w:tcPr>
          <w:p w14:paraId="32ED19B6"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hAnsi="Times New Roman" w:cs="Times New Roman"/>
              </w:rPr>
              <w:t>Općina Virje</w:t>
            </w:r>
          </w:p>
        </w:tc>
      </w:tr>
      <w:tr w:rsidR="001E37DF" w:rsidRPr="00F120D7" w14:paraId="0C4B009F"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1BBA4FA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11.</w:t>
            </w:r>
          </w:p>
        </w:tc>
        <w:tc>
          <w:tcPr>
            <w:tcW w:w="3676" w:type="dxa"/>
            <w:tcBorders>
              <w:top w:val="nil"/>
              <w:left w:val="nil"/>
              <w:bottom w:val="single" w:sz="8" w:space="0" w:color="auto"/>
              <w:right w:val="single" w:sz="8" w:space="0" w:color="auto"/>
            </w:tcBorders>
            <w:vAlign w:val="center"/>
          </w:tcPr>
          <w:p w14:paraId="558E7EC0"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Izgradnja dječjeg vrtića u Koprivničkom Ivancu</w:t>
            </w:r>
          </w:p>
        </w:tc>
        <w:tc>
          <w:tcPr>
            <w:tcW w:w="1134" w:type="dxa"/>
            <w:tcBorders>
              <w:top w:val="nil"/>
              <w:left w:val="nil"/>
              <w:bottom w:val="single" w:sz="8" w:space="0" w:color="auto"/>
              <w:right w:val="single" w:sz="8" w:space="0" w:color="auto"/>
            </w:tcBorders>
            <w:vAlign w:val="center"/>
          </w:tcPr>
          <w:p w14:paraId="56A177B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0B7AC43C"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hAnsi="Times New Roman" w:cs="Times New Roman"/>
              </w:rPr>
              <w:t>544.694,41</w:t>
            </w:r>
          </w:p>
        </w:tc>
        <w:tc>
          <w:tcPr>
            <w:tcW w:w="1985" w:type="dxa"/>
            <w:tcBorders>
              <w:top w:val="nil"/>
              <w:left w:val="single" w:sz="8" w:space="0" w:color="auto"/>
              <w:bottom w:val="single" w:sz="8" w:space="0" w:color="auto"/>
              <w:right w:val="single" w:sz="8" w:space="0" w:color="auto"/>
            </w:tcBorders>
            <w:vAlign w:val="center"/>
          </w:tcPr>
          <w:p w14:paraId="7FC6E4F8"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hAnsi="Times New Roman" w:cs="Times New Roman"/>
              </w:rPr>
              <w:t>Općina Koprivnički Ivanec</w:t>
            </w:r>
          </w:p>
        </w:tc>
      </w:tr>
      <w:tr w:rsidR="001E37DF" w:rsidRPr="00F120D7" w14:paraId="61D5D228"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3463976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12.</w:t>
            </w:r>
          </w:p>
        </w:tc>
        <w:tc>
          <w:tcPr>
            <w:tcW w:w="3676" w:type="dxa"/>
            <w:tcBorders>
              <w:top w:val="nil"/>
              <w:left w:val="nil"/>
              <w:bottom w:val="single" w:sz="8" w:space="0" w:color="auto"/>
              <w:right w:val="single" w:sz="8" w:space="0" w:color="auto"/>
            </w:tcBorders>
            <w:vAlign w:val="center"/>
          </w:tcPr>
          <w:p w14:paraId="6BB4E4E5"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Dogradnja Dječjeg vrtića Dabrić Legrad</w:t>
            </w:r>
          </w:p>
        </w:tc>
        <w:tc>
          <w:tcPr>
            <w:tcW w:w="1134" w:type="dxa"/>
            <w:tcBorders>
              <w:top w:val="nil"/>
              <w:left w:val="nil"/>
              <w:bottom w:val="single" w:sz="8" w:space="0" w:color="auto"/>
              <w:right w:val="single" w:sz="8" w:space="0" w:color="auto"/>
            </w:tcBorders>
            <w:vAlign w:val="center"/>
          </w:tcPr>
          <w:p w14:paraId="15BE1D2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397133AA"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hAnsi="Times New Roman" w:cs="Times New Roman"/>
              </w:rPr>
              <w:t>162.452,72</w:t>
            </w:r>
          </w:p>
        </w:tc>
        <w:tc>
          <w:tcPr>
            <w:tcW w:w="1985" w:type="dxa"/>
            <w:tcBorders>
              <w:top w:val="nil"/>
              <w:left w:val="single" w:sz="8" w:space="0" w:color="auto"/>
              <w:bottom w:val="single" w:sz="8" w:space="0" w:color="auto"/>
              <w:right w:val="single" w:sz="8" w:space="0" w:color="auto"/>
            </w:tcBorders>
            <w:vAlign w:val="center"/>
          </w:tcPr>
          <w:p w14:paraId="46D7DA12"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hAnsi="Times New Roman" w:cs="Times New Roman"/>
              </w:rPr>
              <w:t>Općina Legrad</w:t>
            </w:r>
          </w:p>
        </w:tc>
      </w:tr>
      <w:tr w:rsidR="001E37DF" w:rsidRPr="00F120D7" w14:paraId="062C9880"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62EC3EC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 xml:space="preserve">13. </w:t>
            </w:r>
          </w:p>
        </w:tc>
        <w:tc>
          <w:tcPr>
            <w:tcW w:w="3676" w:type="dxa"/>
            <w:tcBorders>
              <w:top w:val="nil"/>
              <w:left w:val="nil"/>
              <w:bottom w:val="single" w:sz="8" w:space="0" w:color="auto"/>
              <w:right w:val="single" w:sz="8" w:space="0" w:color="auto"/>
            </w:tcBorders>
            <w:vAlign w:val="center"/>
          </w:tcPr>
          <w:p w14:paraId="1C30D72C"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Izgradnja dječjeg vrtića u Goli</w:t>
            </w:r>
          </w:p>
        </w:tc>
        <w:tc>
          <w:tcPr>
            <w:tcW w:w="1134" w:type="dxa"/>
            <w:tcBorders>
              <w:top w:val="nil"/>
              <w:left w:val="nil"/>
              <w:bottom w:val="single" w:sz="8" w:space="0" w:color="auto"/>
              <w:right w:val="single" w:sz="8" w:space="0" w:color="auto"/>
            </w:tcBorders>
            <w:vAlign w:val="center"/>
          </w:tcPr>
          <w:p w14:paraId="18BB710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69EBDC4D"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hAnsi="Times New Roman" w:cs="Times New Roman"/>
              </w:rPr>
              <w:t>573.362,53</w:t>
            </w:r>
          </w:p>
        </w:tc>
        <w:tc>
          <w:tcPr>
            <w:tcW w:w="1985" w:type="dxa"/>
            <w:tcBorders>
              <w:top w:val="nil"/>
              <w:left w:val="single" w:sz="8" w:space="0" w:color="auto"/>
              <w:bottom w:val="single" w:sz="8" w:space="0" w:color="auto"/>
              <w:right w:val="single" w:sz="8" w:space="0" w:color="auto"/>
            </w:tcBorders>
            <w:vAlign w:val="center"/>
          </w:tcPr>
          <w:p w14:paraId="186F701C"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hAnsi="Times New Roman" w:cs="Times New Roman"/>
              </w:rPr>
              <w:t>Općina Gola</w:t>
            </w:r>
          </w:p>
        </w:tc>
      </w:tr>
      <w:tr w:rsidR="001E37DF" w:rsidRPr="00F120D7" w14:paraId="4F635B87"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7E30E0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14.</w:t>
            </w:r>
          </w:p>
        </w:tc>
        <w:tc>
          <w:tcPr>
            <w:tcW w:w="3676" w:type="dxa"/>
            <w:tcBorders>
              <w:top w:val="nil"/>
              <w:left w:val="nil"/>
              <w:bottom w:val="single" w:sz="8" w:space="0" w:color="auto"/>
              <w:right w:val="single" w:sz="8" w:space="0" w:color="auto"/>
            </w:tcBorders>
            <w:vAlign w:val="center"/>
          </w:tcPr>
          <w:p w14:paraId="5C9F520E"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hAnsi="Times New Roman" w:cs="Times New Roman"/>
              </w:rPr>
              <w:t>Dogradnja Dječjeg vrtića Mali Petar u naselju Sveti Petar Orehovec</w:t>
            </w:r>
          </w:p>
        </w:tc>
        <w:tc>
          <w:tcPr>
            <w:tcW w:w="1134" w:type="dxa"/>
            <w:tcBorders>
              <w:top w:val="nil"/>
              <w:left w:val="nil"/>
              <w:bottom w:val="single" w:sz="8" w:space="0" w:color="auto"/>
              <w:right w:val="single" w:sz="8" w:space="0" w:color="auto"/>
            </w:tcBorders>
            <w:vAlign w:val="center"/>
          </w:tcPr>
          <w:p w14:paraId="671BBF9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NPOO</w:t>
            </w:r>
          </w:p>
        </w:tc>
        <w:tc>
          <w:tcPr>
            <w:tcW w:w="1984" w:type="dxa"/>
            <w:tcBorders>
              <w:top w:val="nil"/>
              <w:left w:val="single" w:sz="8" w:space="0" w:color="auto"/>
              <w:bottom w:val="single" w:sz="8" w:space="0" w:color="auto"/>
              <w:right w:val="single" w:sz="8" w:space="0" w:color="auto"/>
            </w:tcBorders>
            <w:vAlign w:val="center"/>
          </w:tcPr>
          <w:p w14:paraId="2E931D1D"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hAnsi="Times New Roman" w:cs="Times New Roman"/>
              </w:rPr>
              <w:t>324.905,43</w:t>
            </w:r>
          </w:p>
        </w:tc>
        <w:tc>
          <w:tcPr>
            <w:tcW w:w="1985" w:type="dxa"/>
            <w:tcBorders>
              <w:top w:val="nil"/>
              <w:left w:val="single" w:sz="8" w:space="0" w:color="auto"/>
              <w:bottom w:val="single" w:sz="8" w:space="0" w:color="auto"/>
              <w:right w:val="single" w:sz="8" w:space="0" w:color="auto"/>
            </w:tcBorders>
            <w:vAlign w:val="center"/>
          </w:tcPr>
          <w:p w14:paraId="5CD0C005"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hAnsi="Times New Roman" w:cs="Times New Roman"/>
              </w:rPr>
              <w:t>Općina Sveti Petar Orehovec</w:t>
            </w:r>
          </w:p>
        </w:tc>
      </w:tr>
      <w:tr w:rsidR="001E37DF" w:rsidRPr="00F120D7" w14:paraId="0CF47768"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31BB3079"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15.</w:t>
            </w:r>
          </w:p>
        </w:tc>
        <w:tc>
          <w:tcPr>
            <w:tcW w:w="3676" w:type="dxa"/>
            <w:tcBorders>
              <w:top w:val="nil"/>
              <w:left w:val="nil"/>
              <w:bottom w:val="single" w:sz="8" w:space="0" w:color="auto"/>
              <w:right w:val="single" w:sz="8" w:space="0" w:color="auto"/>
            </w:tcBorders>
            <w:vAlign w:val="center"/>
          </w:tcPr>
          <w:p w14:paraId="753F510B"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Izgradnja dječjeg vrtića i jaslica u Đelekovcu</w:t>
            </w:r>
          </w:p>
        </w:tc>
        <w:tc>
          <w:tcPr>
            <w:tcW w:w="1134" w:type="dxa"/>
            <w:tcBorders>
              <w:top w:val="nil"/>
              <w:left w:val="nil"/>
              <w:bottom w:val="single" w:sz="8" w:space="0" w:color="auto"/>
              <w:right w:val="single" w:sz="8" w:space="0" w:color="auto"/>
            </w:tcBorders>
            <w:vAlign w:val="center"/>
          </w:tcPr>
          <w:p w14:paraId="191510F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58382127"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363.129,60</w:t>
            </w:r>
          </w:p>
        </w:tc>
        <w:tc>
          <w:tcPr>
            <w:tcW w:w="1985" w:type="dxa"/>
            <w:tcBorders>
              <w:top w:val="nil"/>
              <w:left w:val="single" w:sz="8" w:space="0" w:color="auto"/>
              <w:bottom w:val="single" w:sz="8" w:space="0" w:color="auto"/>
              <w:right w:val="single" w:sz="8" w:space="0" w:color="auto"/>
            </w:tcBorders>
            <w:vAlign w:val="center"/>
          </w:tcPr>
          <w:p w14:paraId="7C5CBE10"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Đelekovec</w:t>
            </w:r>
          </w:p>
        </w:tc>
      </w:tr>
      <w:tr w:rsidR="001E37DF" w:rsidRPr="00F120D7" w14:paraId="32412F05"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1995938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16.</w:t>
            </w:r>
          </w:p>
        </w:tc>
        <w:tc>
          <w:tcPr>
            <w:tcW w:w="3676" w:type="dxa"/>
            <w:tcBorders>
              <w:top w:val="nil"/>
              <w:left w:val="nil"/>
              <w:bottom w:val="single" w:sz="8" w:space="0" w:color="auto"/>
              <w:right w:val="single" w:sz="8" w:space="0" w:color="auto"/>
            </w:tcBorders>
            <w:vAlign w:val="center"/>
          </w:tcPr>
          <w:p w14:paraId="1A4A0F45"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Dogradnja Dječjeg vrtića Mali medo</w:t>
            </w:r>
          </w:p>
        </w:tc>
        <w:tc>
          <w:tcPr>
            <w:tcW w:w="1134" w:type="dxa"/>
            <w:tcBorders>
              <w:top w:val="nil"/>
              <w:left w:val="nil"/>
              <w:bottom w:val="single" w:sz="8" w:space="0" w:color="auto"/>
              <w:right w:val="single" w:sz="8" w:space="0" w:color="auto"/>
            </w:tcBorders>
            <w:vAlign w:val="center"/>
          </w:tcPr>
          <w:p w14:paraId="2638806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60A24A40"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162.452,72 </w:t>
            </w:r>
          </w:p>
        </w:tc>
        <w:tc>
          <w:tcPr>
            <w:tcW w:w="1985" w:type="dxa"/>
            <w:tcBorders>
              <w:top w:val="nil"/>
              <w:left w:val="single" w:sz="8" w:space="0" w:color="auto"/>
              <w:bottom w:val="single" w:sz="8" w:space="0" w:color="auto"/>
              <w:right w:val="single" w:sz="8" w:space="0" w:color="auto"/>
            </w:tcBorders>
            <w:vAlign w:val="center"/>
          </w:tcPr>
          <w:p w14:paraId="4D0775DB"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Gornja Rijeka</w:t>
            </w:r>
          </w:p>
        </w:tc>
      </w:tr>
      <w:tr w:rsidR="001E37DF" w:rsidRPr="00F120D7" w14:paraId="3517839D"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09B5B23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17.</w:t>
            </w:r>
          </w:p>
        </w:tc>
        <w:tc>
          <w:tcPr>
            <w:tcW w:w="3676" w:type="dxa"/>
            <w:tcBorders>
              <w:top w:val="nil"/>
              <w:left w:val="nil"/>
              <w:bottom w:val="single" w:sz="8" w:space="0" w:color="auto"/>
              <w:right w:val="single" w:sz="8" w:space="0" w:color="auto"/>
            </w:tcBorders>
            <w:vAlign w:val="center"/>
          </w:tcPr>
          <w:p w14:paraId="1A823123"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Dogradnja i opremanje dječjeg vrtića u Novom Virju</w:t>
            </w:r>
          </w:p>
        </w:tc>
        <w:tc>
          <w:tcPr>
            <w:tcW w:w="1134" w:type="dxa"/>
            <w:tcBorders>
              <w:top w:val="nil"/>
              <w:left w:val="nil"/>
              <w:bottom w:val="single" w:sz="8" w:space="0" w:color="auto"/>
              <w:right w:val="single" w:sz="8" w:space="0" w:color="auto"/>
            </w:tcBorders>
            <w:vAlign w:val="center"/>
          </w:tcPr>
          <w:p w14:paraId="0FA3C0B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182409E4"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162.453,00 </w:t>
            </w:r>
          </w:p>
        </w:tc>
        <w:tc>
          <w:tcPr>
            <w:tcW w:w="1985" w:type="dxa"/>
            <w:tcBorders>
              <w:top w:val="nil"/>
              <w:left w:val="single" w:sz="8" w:space="0" w:color="auto"/>
              <w:bottom w:val="single" w:sz="8" w:space="0" w:color="auto"/>
              <w:right w:val="single" w:sz="8" w:space="0" w:color="auto"/>
            </w:tcBorders>
            <w:vAlign w:val="center"/>
          </w:tcPr>
          <w:p w14:paraId="399C1D29"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Novo Virje</w:t>
            </w:r>
          </w:p>
        </w:tc>
      </w:tr>
      <w:tr w:rsidR="001E37DF" w:rsidRPr="00F120D7" w14:paraId="5C9EC12F"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6220F01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18.</w:t>
            </w:r>
          </w:p>
        </w:tc>
        <w:tc>
          <w:tcPr>
            <w:tcW w:w="3676" w:type="dxa"/>
            <w:tcBorders>
              <w:top w:val="nil"/>
              <w:left w:val="nil"/>
              <w:bottom w:val="single" w:sz="8" w:space="0" w:color="auto"/>
              <w:right w:val="single" w:sz="8" w:space="0" w:color="auto"/>
            </w:tcBorders>
            <w:vAlign w:val="center"/>
          </w:tcPr>
          <w:p w14:paraId="24A72B80"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Dogradnja Dječjeg vrtića Mali Petar, Podružnica Gornji Fodrovec</w:t>
            </w:r>
          </w:p>
        </w:tc>
        <w:tc>
          <w:tcPr>
            <w:tcW w:w="1134" w:type="dxa"/>
            <w:tcBorders>
              <w:top w:val="nil"/>
              <w:left w:val="nil"/>
              <w:bottom w:val="single" w:sz="8" w:space="0" w:color="auto"/>
              <w:right w:val="single" w:sz="8" w:space="0" w:color="auto"/>
            </w:tcBorders>
            <w:vAlign w:val="center"/>
          </w:tcPr>
          <w:p w14:paraId="3C3C871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79187DE2"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324.906,00 </w:t>
            </w:r>
          </w:p>
        </w:tc>
        <w:tc>
          <w:tcPr>
            <w:tcW w:w="1985" w:type="dxa"/>
            <w:tcBorders>
              <w:top w:val="nil"/>
              <w:left w:val="single" w:sz="8" w:space="0" w:color="auto"/>
              <w:bottom w:val="single" w:sz="8" w:space="0" w:color="auto"/>
              <w:right w:val="single" w:sz="8" w:space="0" w:color="auto"/>
            </w:tcBorders>
            <w:vAlign w:val="center"/>
          </w:tcPr>
          <w:p w14:paraId="3BA24E33"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Sveti Petar Orehovec</w:t>
            </w:r>
          </w:p>
        </w:tc>
      </w:tr>
      <w:tr w:rsidR="001E37DF" w:rsidRPr="00F120D7" w14:paraId="6BF7FDE2"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51660CE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lastRenderedPageBreak/>
              <w:t>19.</w:t>
            </w:r>
          </w:p>
        </w:tc>
        <w:tc>
          <w:tcPr>
            <w:tcW w:w="3676" w:type="dxa"/>
            <w:tcBorders>
              <w:top w:val="nil"/>
              <w:left w:val="nil"/>
              <w:bottom w:val="single" w:sz="8" w:space="0" w:color="auto"/>
              <w:right w:val="single" w:sz="8" w:space="0" w:color="auto"/>
            </w:tcBorders>
            <w:vAlign w:val="center"/>
          </w:tcPr>
          <w:p w14:paraId="530ACCAB"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Rekonstrukcija dvorca Inkey u infrastrukturu u funkciji razvoja wellness turizma</w:t>
            </w:r>
          </w:p>
        </w:tc>
        <w:tc>
          <w:tcPr>
            <w:tcW w:w="1134" w:type="dxa"/>
            <w:tcBorders>
              <w:top w:val="nil"/>
              <w:left w:val="nil"/>
              <w:bottom w:val="single" w:sz="8" w:space="0" w:color="auto"/>
              <w:right w:val="single" w:sz="8" w:space="0" w:color="auto"/>
            </w:tcBorders>
            <w:vAlign w:val="center"/>
          </w:tcPr>
          <w:p w14:paraId="605A9D8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0F5A22FB"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12.866.989,30 </w:t>
            </w:r>
          </w:p>
        </w:tc>
        <w:tc>
          <w:tcPr>
            <w:tcW w:w="1985" w:type="dxa"/>
            <w:tcBorders>
              <w:top w:val="nil"/>
              <w:left w:val="single" w:sz="8" w:space="0" w:color="auto"/>
              <w:bottom w:val="single" w:sz="8" w:space="0" w:color="auto"/>
              <w:right w:val="single" w:sz="8" w:space="0" w:color="auto"/>
            </w:tcBorders>
            <w:vAlign w:val="center"/>
          </w:tcPr>
          <w:p w14:paraId="0FFCAFFC"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Koprivničko-križevačka županija</w:t>
            </w:r>
          </w:p>
        </w:tc>
      </w:tr>
      <w:tr w:rsidR="001E37DF" w:rsidRPr="00F120D7" w14:paraId="592D49CF"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23D3AEC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20.</w:t>
            </w:r>
          </w:p>
        </w:tc>
        <w:tc>
          <w:tcPr>
            <w:tcW w:w="3676" w:type="dxa"/>
            <w:tcBorders>
              <w:top w:val="nil"/>
              <w:left w:val="nil"/>
              <w:bottom w:val="single" w:sz="8" w:space="0" w:color="auto"/>
              <w:right w:val="single" w:sz="8" w:space="0" w:color="auto"/>
            </w:tcBorders>
            <w:vAlign w:val="center"/>
          </w:tcPr>
          <w:p w14:paraId="0AE5D74D"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Interpretacijski centar „Bolenov dravski put“</w:t>
            </w:r>
          </w:p>
        </w:tc>
        <w:tc>
          <w:tcPr>
            <w:tcW w:w="1134" w:type="dxa"/>
            <w:tcBorders>
              <w:top w:val="nil"/>
              <w:left w:val="nil"/>
              <w:bottom w:val="single" w:sz="8" w:space="0" w:color="auto"/>
              <w:right w:val="single" w:sz="8" w:space="0" w:color="auto"/>
            </w:tcBorders>
            <w:vAlign w:val="center"/>
          </w:tcPr>
          <w:p w14:paraId="2E815CD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33D49DD2"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3.502.522,93 </w:t>
            </w:r>
          </w:p>
        </w:tc>
        <w:tc>
          <w:tcPr>
            <w:tcW w:w="1985" w:type="dxa"/>
            <w:tcBorders>
              <w:top w:val="nil"/>
              <w:left w:val="single" w:sz="8" w:space="0" w:color="auto"/>
              <w:bottom w:val="single" w:sz="8" w:space="0" w:color="auto"/>
              <w:right w:val="single" w:sz="8" w:space="0" w:color="auto"/>
            </w:tcBorders>
            <w:vAlign w:val="center"/>
          </w:tcPr>
          <w:p w14:paraId="7EB74DB6"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Gola</w:t>
            </w:r>
          </w:p>
        </w:tc>
      </w:tr>
      <w:tr w:rsidR="001E37DF" w:rsidRPr="00F120D7" w14:paraId="7A0A2FC8"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39756C6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21.</w:t>
            </w:r>
          </w:p>
        </w:tc>
        <w:tc>
          <w:tcPr>
            <w:tcW w:w="3676" w:type="dxa"/>
            <w:tcBorders>
              <w:top w:val="nil"/>
              <w:left w:val="nil"/>
              <w:bottom w:val="single" w:sz="8" w:space="0" w:color="auto"/>
              <w:right w:val="single" w:sz="8" w:space="0" w:color="auto"/>
            </w:tcBorders>
            <w:vAlign w:val="center"/>
          </w:tcPr>
          <w:p w14:paraId="68CD96D1"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Zaželi provedi 4</w:t>
            </w:r>
          </w:p>
        </w:tc>
        <w:tc>
          <w:tcPr>
            <w:tcW w:w="1134" w:type="dxa"/>
            <w:tcBorders>
              <w:top w:val="nil"/>
              <w:left w:val="nil"/>
              <w:bottom w:val="single" w:sz="8" w:space="0" w:color="auto"/>
              <w:right w:val="single" w:sz="8" w:space="0" w:color="auto"/>
            </w:tcBorders>
            <w:vAlign w:val="center"/>
          </w:tcPr>
          <w:p w14:paraId="321FCE7B"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ESF +</w:t>
            </w:r>
          </w:p>
        </w:tc>
        <w:tc>
          <w:tcPr>
            <w:tcW w:w="1984" w:type="dxa"/>
            <w:tcBorders>
              <w:top w:val="nil"/>
              <w:left w:val="single" w:sz="8" w:space="0" w:color="auto"/>
              <w:bottom w:val="single" w:sz="8" w:space="0" w:color="auto"/>
              <w:right w:val="single" w:sz="8" w:space="0" w:color="auto"/>
            </w:tcBorders>
            <w:vAlign w:val="center"/>
          </w:tcPr>
          <w:p w14:paraId="09411682"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346.500,00 </w:t>
            </w:r>
          </w:p>
        </w:tc>
        <w:tc>
          <w:tcPr>
            <w:tcW w:w="1985" w:type="dxa"/>
            <w:tcBorders>
              <w:top w:val="nil"/>
              <w:left w:val="single" w:sz="8" w:space="0" w:color="auto"/>
              <w:bottom w:val="single" w:sz="8" w:space="0" w:color="auto"/>
              <w:right w:val="single" w:sz="8" w:space="0" w:color="auto"/>
            </w:tcBorders>
            <w:vAlign w:val="center"/>
          </w:tcPr>
          <w:p w14:paraId="21093A31"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Virje</w:t>
            </w:r>
          </w:p>
        </w:tc>
      </w:tr>
      <w:tr w:rsidR="001E37DF" w:rsidRPr="00F120D7" w14:paraId="636F21E6"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3D7FE85"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22.</w:t>
            </w:r>
          </w:p>
        </w:tc>
        <w:tc>
          <w:tcPr>
            <w:tcW w:w="3676" w:type="dxa"/>
            <w:tcBorders>
              <w:top w:val="nil"/>
              <w:left w:val="nil"/>
              <w:bottom w:val="single" w:sz="8" w:space="0" w:color="auto"/>
              <w:right w:val="single" w:sz="8" w:space="0" w:color="auto"/>
            </w:tcBorders>
            <w:vAlign w:val="center"/>
          </w:tcPr>
          <w:p w14:paraId="404C1FB0"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Zaposli i pomozi 2</w:t>
            </w:r>
          </w:p>
        </w:tc>
        <w:tc>
          <w:tcPr>
            <w:tcW w:w="1134" w:type="dxa"/>
            <w:tcBorders>
              <w:top w:val="nil"/>
              <w:left w:val="nil"/>
              <w:bottom w:val="single" w:sz="8" w:space="0" w:color="auto"/>
              <w:right w:val="single" w:sz="8" w:space="0" w:color="auto"/>
            </w:tcBorders>
            <w:vAlign w:val="center"/>
          </w:tcPr>
          <w:p w14:paraId="4368880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ESF +</w:t>
            </w:r>
          </w:p>
        </w:tc>
        <w:tc>
          <w:tcPr>
            <w:tcW w:w="1984" w:type="dxa"/>
            <w:tcBorders>
              <w:top w:val="nil"/>
              <w:left w:val="single" w:sz="8" w:space="0" w:color="auto"/>
              <w:bottom w:val="single" w:sz="8" w:space="0" w:color="auto"/>
              <w:right w:val="single" w:sz="8" w:space="0" w:color="auto"/>
            </w:tcBorders>
            <w:vAlign w:val="center"/>
          </w:tcPr>
          <w:p w14:paraId="1C36DC92"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1.336.500,00 </w:t>
            </w:r>
          </w:p>
        </w:tc>
        <w:tc>
          <w:tcPr>
            <w:tcW w:w="1985" w:type="dxa"/>
            <w:tcBorders>
              <w:top w:val="nil"/>
              <w:left w:val="single" w:sz="8" w:space="0" w:color="auto"/>
              <w:bottom w:val="single" w:sz="8" w:space="0" w:color="auto"/>
              <w:right w:val="single" w:sz="8" w:space="0" w:color="auto"/>
            </w:tcBorders>
            <w:vAlign w:val="center"/>
          </w:tcPr>
          <w:p w14:paraId="7FB87BB7"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Drnje</w:t>
            </w:r>
          </w:p>
        </w:tc>
      </w:tr>
      <w:tr w:rsidR="001E37DF" w:rsidRPr="00F120D7" w14:paraId="769CBEF7"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39746FA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23.</w:t>
            </w:r>
          </w:p>
        </w:tc>
        <w:tc>
          <w:tcPr>
            <w:tcW w:w="3676" w:type="dxa"/>
            <w:tcBorders>
              <w:top w:val="nil"/>
              <w:left w:val="nil"/>
              <w:bottom w:val="single" w:sz="8" w:space="0" w:color="auto"/>
              <w:right w:val="single" w:sz="8" w:space="0" w:color="auto"/>
            </w:tcBorders>
            <w:vAlign w:val="center"/>
          </w:tcPr>
          <w:p w14:paraId="42EC90F1"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Brižne ruke podravske</w:t>
            </w:r>
          </w:p>
        </w:tc>
        <w:tc>
          <w:tcPr>
            <w:tcW w:w="1134" w:type="dxa"/>
            <w:tcBorders>
              <w:top w:val="nil"/>
              <w:left w:val="nil"/>
              <w:bottom w:val="single" w:sz="8" w:space="0" w:color="auto"/>
              <w:right w:val="single" w:sz="8" w:space="0" w:color="auto"/>
            </w:tcBorders>
            <w:vAlign w:val="center"/>
          </w:tcPr>
          <w:p w14:paraId="088152A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hAnsi="Times New Roman" w:cs="Times New Roman"/>
              </w:rPr>
              <w:t>ESF +</w:t>
            </w:r>
          </w:p>
        </w:tc>
        <w:tc>
          <w:tcPr>
            <w:tcW w:w="1984" w:type="dxa"/>
            <w:tcBorders>
              <w:top w:val="nil"/>
              <w:left w:val="single" w:sz="8" w:space="0" w:color="auto"/>
              <w:bottom w:val="single" w:sz="8" w:space="0" w:color="auto"/>
              <w:right w:val="single" w:sz="8" w:space="0" w:color="auto"/>
            </w:tcBorders>
            <w:vAlign w:val="center"/>
          </w:tcPr>
          <w:p w14:paraId="644BC599" w14:textId="77777777" w:rsidR="001E37DF" w:rsidRPr="00F120D7" w:rsidRDefault="001E37DF" w:rsidP="00C37BF6">
            <w:pPr>
              <w:spacing w:after="0" w:line="240" w:lineRule="auto"/>
              <w:jc w:val="right"/>
              <w:rPr>
                <w:rFonts w:ascii="Times New Roman" w:eastAsia="Calibri" w:hAnsi="Times New Roman" w:cs="Times New Roman"/>
              </w:rPr>
            </w:pPr>
            <w:r w:rsidRPr="00F120D7">
              <w:rPr>
                <w:rFonts w:ascii="Times New Roman" w:eastAsia="Calibri" w:hAnsi="Times New Roman" w:cs="Times New Roman"/>
              </w:rPr>
              <w:t xml:space="preserve">1.188.000,00 </w:t>
            </w:r>
          </w:p>
        </w:tc>
        <w:tc>
          <w:tcPr>
            <w:tcW w:w="1985" w:type="dxa"/>
            <w:tcBorders>
              <w:top w:val="nil"/>
              <w:left w:val="single" w:sz="8" w:space="0" w:color="auto"/>
              <w:bottom w:val="single" w:sz="8" w:space="0" w:color="auto"/>
              <w:right w:val="single" w:sz="8" w:space="0" w:color="auto"/>
            </w:tcBorders>
            <w:vAlign w:val="center"/>
          </w:tcPr>
          <w:p w14:paraId="49E879FD"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Kalinovac</w:t>
            </w:r>
          </w:p>
        </w:tc>
      </w:tr>
      <w:tr w:rsidR="001E37DF" w:rsidRPr="00F120D7" w14:paraId="04A48764"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65704A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24.</w:t>
            </w:r>
          </w:p>
        </w:tc>
        <w:tc>
          <w:tcPr>
            <w:tcW w:w="3676" w:type="dxa"/>
            <w:tcBorders>
              <w:top w:val="nil"/>
              <w:left w:val="nil"/>
              <w:bottom w:val="single" w:sz="8" w:space="0" w:color="auto"/>
              <w:right w:val="single" w:sz="8" w:space="0" w:color="auto"/>
            </w:tcBorders>
            <w:vAlign w:val="center"/>
          </w:tcPr>
          <w:p w14:paraId="035BB0A1"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Specijalističko usavršavanje medicinskih sestara i tehničara u djelatnosti hitne medicine Zavoda za hitnu medicinu Koprivničko-križevačke županije</w:t>
            </w:r>
          </w:p>
        </w:tc>
        <w:tc>
          <w:tcPr>
            <w:tcW w:w="1134" w:type="dxa"/>
            <w:tcBorders>
              <w:top w:val="nil"/>
              <w:left w:val="nil"/>
              <w:bottom w:val="single" w:sz="8" w:space="0" w:color="auto"/>
              <w:right w:val="single" w:sz="8" w:space="0" w:color="auto"/>
            </w:tcBorders>
            <w:vAlign w:val="center"/>
          </w:tcPr>
          <w:p w14:paraId="6F93B81F"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110B80D7"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 xml:space="preserve">246.172,30 </w:t>
            </w:r>
          </w:p>
        </w:tc>
        <w:tc>
          <w:tcPr>
            <w:tcW w:w="1985" w:type="dxa"/>
            <w:tcBorders>
              <w:top w:val="nil"/>
              <w:left w:val="single" w:sz="8" w:space="0" w:color="auto"/>
              <w:bottom w:val="single" w:sz="8" w:space="0" w:color="auto"/>
              <w:right w:val="single" w:sz="8" w:space="0" w:color="auto"/>
            </w:tcBorders>
            <w:vAlign w:val="center"/>
          </w:tcPr>
          <w:p w14:paraId="015A6A16"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Zavod za hitnu medicinu Koprivničko-križevačke županije</w:t>
            </w:r>
          </w:p>
        </w:tc>
      </w:tr>
      <w:tr w:rsidR="001E37DF" w:rsidRPr="00F120D7" w14:paraId="79E367E8"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36EAC00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25.</w:t>
            </w:r>
          </w:p>
        </w:tc>
        <w:tc>
          <w:tcPr>
            <w:tcW w:w="3676" w:type="dxa"/>
            <w:tcBorders>
              <w:top w:val="nil"/>
              <w:left w:val="nil"/>
              <w:bottom w:val="single" w:sz="8" w:space="0" w:color="auto"/>
              <w:right w:val="single" w:sz="8" w:space="0" w:color="auto"/>
            </w:tcBorders>
            <w:vAlign w:val="center"/>
          </w:tcPr>
          <w:p w14:paraId="66D684F3"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 donošenje Prostornog plana uređenja Općine Hlebine putem elektroničkog sustava „ePlanovi“</w:t>
            </w:r>
          </w:p>
        </w:tc>
        <w:tc>
          <w:tcPr>
            <w:tcW w:w="1134" w:type="dxa"/>
            <w:tcBorders>
              <w:top w:val="nil"/>
              <w:left w:val="nil"/>
              <w:bottom w:val="single" w:sz="8" w:space="0" w:color="auto"/>
              <w:right w:val="single" w:sz="8" w:space="0" w:color="auto"/>
            </w:tcBorders>
            <w:vAlign w:val="center"/>
          </w:tcPr>
          <w:p w14:paraId="4EB7512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69B0BD60"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 xml:space="preserve">30.000,00 </w:t>
            </w:r>
          </w:p>
        </w:tc>
        <w:tc>
          <w:tcPr>
            <w:tcW w:w="1985" w:type="dxa"/>
            <w:tcBorders>
              <w:top w:val="nil"/>
              <w:left w:val="single" w:sz="8" w:space="0" w:color="auto"/>
              <w:bottom w:val="single" w:sz="8" w:space="0" w:color="auto"/>
              <w:right w:val="single" w:sz="8" w:space="0" w:color="auto"/>
            </w:tcBorders>
            <w:vAlign w:val="center"/>
          </w:tcPr>
          <w:p w14:paraId="3C5DE9E9"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Hlebine</w:t>
            </w:r>
          </w:p>
        </w:tc>
      </w:tr>
      <w:tr w:rsidR="001E37DF" w:rsidRPr="00F120D7" w14:paraId="6788A1C6"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24162E7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26.</w:t>
            </w:r>
          </w:p>
        </w:tc>
        <w:tc>
          <w:tcPr>
            <w:tcW w:w="3676" w:type="dxa"/>
            <w:tcBorders>
              <w:top w:val="nil"/>
              <w:left w:val="nil"/>
              <w:bottom w:val="single" w:sz="8" w:space="0" w:color="auto"/>
              <w:right w:val="single" w:sz="8" w:space="0" w:color="auto"/>
            </w:tcBorders>
            <w:vAlign w:val="center"/>
          </w:tcPr>
          <w:p w14:paraId="02003B9C"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izmjene i dopune Prostornog plana uređenja Općine Sokolovac putem elektroničkog sustava „ePlanovi“</w:t>
            </w:r>
          </w:p>
        </w:tc>
        <w:tc>
          <w:tcPr>
            <w:tcW w:w="1134" w:type="dxa"/>
            <w:tcBorders>
              <w:top w:val="nil"/>
              <w:left w:val="nil"/>
              <w:bottom w:val="single" w:sz="8" w:space="0" w:color="auto"/>
              <w:right w:val="single" w:sz="8" w:space="0" w:color="auto"/>
            </w:tcBorders>
            <w:vAlign w:val="center"/>
          </w:tcPr>
          <w:p w14:paraId="5DFB76A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13031014"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778C96F8"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Sokolovac</w:t>
            </w:r>
          </w:p>
        </w:tc>
      </w:tr>
      <w:tr w:rsidR="001E37DF" w:rsidRPr="00F120D7" w14:paraId="02F08AA4"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FB3288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27.</w:t>
            </w:r>
          </w:p>
        </w:tc>
        <w:tc>
          <w:tcPr>
            <w:tcW w:w="3676" w:type="dxa"/>
            <w:tcBorders>
              <w:top w:val="nil"/>
              <w:left w:val="nil"/>
              <w:bottom w:val="single" w:sz="8" w:space="0" w:color="auto"/>
              <w:right w:val="single" w:sz="8" w:space="0" w:color="auto"/>
            </w:tcBorders>
            <w:vAlign w:val="center"/>
          </w:tcPr>
          <w:p w14:paraId="1726D010"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izmjene i dopune Prostornog plana uređenja Općine Sveti Ivan Žabno</w:t>
            </w:r>
          </w:p>
        </w:tc>
        <w:tc>
          <w:tcPr>
            <w:tcW w:w="1134" w:type="dxa"/>
            <w:tcBorders>
              <w:top w:val="nil"/>
              <w:left w:val="nil"/>
              <w:bottom w:val="single" w:sz="8" w:space="0" w:color="auto"/>
              <w:right w:val="single" w:sz="8" w:space="0" w:color="auto"/>
            </w:tcBorders>
            <w:vAlign w:val="center"/>
          </w:tcPr>
          <w:p w14:paraId="4708A39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3178D762"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24.000,00</w:t>
            </w:r>
          </w:p>
        </w:tc>
        <w:tc>
          <w:tcPr>
            <w:tcW w:w="1985" w:type="dxa"/>
            <w:tcBorders>
              <w:top w:val="nil"/>
              <w:left w:val="single" w:sz="8" w:space="0" w:color="auto"/>
              <w:bottom w:val="single" w:sz="8" w:space="0" w:color="auto"/>
              <w:right w:val="single" w:sz="8" w:space="0" w:color="auto"/>
            </w:tcBorders>
            <w:vAlign w:val="center"/>
          </w:tcPr>
          <w:p w14:paraId="03EBAA4A"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Sveti Ivan Žabno</w:t>
            </w:r>
          </w:p>
        </w:tc>
      </w:tr>
      <w:tr w:rsidR="001E37DF" w:rsidRPr="00F120D7" w14:paraId="08CE67EE"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61035A1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28.</w:t>
            </w:r>
          </w:p>
        </w:tc>
        <w:tc>
          <w:tcPr>
            <w:tcW w:w="3676" w:type="dxa"/>
            <w:tcBorders>
              <w:top w:val="nil"/>
              <w:left w:val="nil"/>
              <w:bottom w:val="single" w:sz="8" w:space="0" w:color="auto"/>
              <w:right w:val="single" w:sz="8" w:space="0" w:color="auto"/>
            </w:tcBorders>
            <w:vAlign w:val="center"/>
          </w:tcPr>
          <w:p w14:paraId="58A329A0"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Izmjene i dopune Prostornog plana uređenja Općine Koprivnički Ivanec</w:t>
            </w:r>
          </w:p>
        </w:tc>
        <w:tc>
          <w:tcPr>
            <w:tcW w:w="1134" w:type="dxa"/>
            <w:tcBorders>
              <w:top w:val="nil"/>
              <w:left w:val="nil"/>
              <w:bottom w:val="single" w:sz="8" w:space="0" w:color="auto"/>
              <w:right w:val="single" w:sz="8" w:space="0" w:color="auto"/>
            </w:tcBorders>
            <w:vAlign w:val="center"/>
          </w:tcPr>
          <w:p w14:paraId="0680BBB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13AF089F"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3CEA6FC3"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Koprivnički Ivanec</w:t>
            </w:r>
          </w:p>
        </w:tc>
      </w:tr>
      <w:tr w:rsidR="001E37DF" w:rsidRPr="00F120D7" w14:paraId="25B92B27"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175D200"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29.</w:t>
            </w:r>
          </w:p>
        </w:tc>
        <w:tc>
          <w:tcPr>
            <w:tcW w:w="3676" w:type="dxa"/>
            <w:tcBorders>
              <w:top w:val="nil"/>
              <w:left w:val="nil"/>
              <w:bottom w:val="single" w:sz="8" w:space="0" w:color="auto"/>
              <w:right w:val="single" w:sz="8" w:space="0" w:color="auto"/>
            </w:tcBorders>
            <w:vAlign w:val="center"/>
          </w:tcPr>
          <w:p w14:paraId="50064136"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izmjene i dopune uređenja Prostornog plana Općine Đelekovec putem elektroničkog sustava „ePlanovi“</w:t>
            </w:r>
          </w:p>
        </w:tc>
        <w:tc>
          <w:tcPr>
            <w:tcW w:w="1134" w:type="dxa"/>
            <w:tcBorders>
              <w:top w:val="nil"/>
              <w:left w:val="nil"/>
              <w:bottom w:val="single" w:sz="8" w:space="0" w:color="auto"/>
              <w:right w:val="single" w:sz="8" w:space="0" w:color="auto"/>
            </w:tcBorders>
            <w:vAlign w:val="center"/>
          </w:tcPr>
          <w:p w14:paraId="1B008E29"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7F5A70B1"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4BA2202D"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Đelekovec</w:t>
            </w:r>
          </w:p>
        </w:tc>
      </w:tr>
      <w:tr w:rsidR="001E37DF" w:rsidRPr="00F120D7" w14:paraId="2165EA0F"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4BB9319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30.</w:t>
            </w:r>
          </w:p>
        </w:tc>
        <w:tc>
          <w:tcPr>
            <w:tcW w:w="3676" w:type="dxa"/>
            <w:tcBorders>
              <w:top w:val="nil"/>
              <w:left w:val="nil"/>
              <w:bottom w:val="single" w:sz="8" w:space="0" w:color="auto"/>
              <w:right w:val="single" w:sz="8" w:space="0" w:color="auto"/>
            </w:tcBorders>
            <w:vAlign w:val="center"/>
          </w:tcPr>
          <w:p w14:paraId="1AB12197"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 xml:space="preserve">Izmjene i dopune Urbanističkog plana uređenja Poslovne zone Koprivnički Ivanec </w:t>
            </w:r>
          </w:p>
        </w:tc>
        <w:tc>
          <w:tcPr>
            <w:tcW w:w="1134" w:type="dxa"/>
            <w:tcBorders>
              <w:top w:val="nil"/>
              <w:left w:val="nil"/>
              <w:bottom w:val="single" w:sz="8" w:space="0" w:color="auto"/>
              <w:right w:val="single" w:sz="8" w:space="0" w:color="auto"/>
            </w:tcBorders>
            <w:vAlign w:val="center"/>
          </w:tcPr>
          <w:p w14:paraId="1862514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0ED41BAF"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18.000,00</w:t>
            </w:r>
          </w:p>
        </w:tc>
        <w:tc>
          <w:tcPr>
            <w:tcW w:w="1985" w:type="dxa"/>
            <w:tcBorders>
              <w:top w:val="nil"/>
              <w:left w:val="single" w:sz="8" w:space="0" w:color="auto"/>
              <w:bottom w:val="single" w:sz="8" w:space="0" w:color="auto"/>
              <w:right w:val="single" w:sz="8" w:space="0" w:color="auto"/>
            </w:tcBorders>
            <w:vAlign w:val="center"/>
          </w:tcPr>
          <w:p w14:paraId="7A36BFB8"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Koprivnički Ivanec</w:t>
            </w:r>
          </w:p>
        </w:tc>
      </w:tr>
      <w:tr w:rsidR="001E37DF" w:rsidRPr="00F120D7" w14:paraId="065BF99D"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5DD110CC"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31.</w:t>
            </w:r>
          </w:p>
        </w:tc>
        <w:tc>
          <w:tcPr>
            <w:tcW w:w="3676" w:type="dxa"/>
            <w:tcBorders>
              <w:top w:val="nil"/>
              <w:left w:val="nil"/>
              <w:bottom w:val="single" w:sz="8" w:space="0" w:color="auto"/>
              <w:right w:val="single" w:sz="8" w:space="0" w:color="auto"/>
            </w:tcBorders>
            <w:vAlign w:val="center"/>
          </w:tcPr>
          <w:p w14:paraId="387E49A9"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izmjena i dopuna Prostornog plana uređenja Općine Novigrad Podravski putem elektroničkog sustava „ePlanovi“</w:t>
            </w:r>
          </w:p>
        </w:tc>
        <w:tc>
          <w:tcPr>
            <w:tcW w:w="1134" w:type="dxa"/>
            <w:tcBorders>
              <w:top w:val="nil"/>
              <w:left w:val="nil"/>
              <w:bottom w:val="single" w:sz="8" w:space="0" w:color="auto"/>
              <w:right w:val="single" w:sz="8" w:space="0" w:color="auto"/>
            </w:tcBorders>
            <w:vAlign w:val="center"/>
          </w:tcPr>
          <w:p w14:paraId="5FDCB34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30D6B7A9"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38509474"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Novigrad Podravski</w:t>
            </w:r>
          </w:p>
        </w:tc>
      </w:tr>
      <w:tr w:rsidR="001E37DF" w:rsidRPr="00F120D7" w14:paraId="2E53EA5F"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1183BCD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32.</w:t>
            </w:r>
          </w:p>
        </w:tc>
        <w:tc>
          <w:tcPr>
            <w:tcW w:w="3676" w:type="dxa"/>
            <w:tcBorders>
              <w:top w:val="nil"/>
              <w:left w:val="nil"/>
              <w:bottom w:val="single" w:sz="8" w:space="0" w:color="auto"/>
              <w:right w:val="single" w:sz="8" w:space="0" w:color="auto"/>
            </w:tcBorders>
            <w:vAlign w:val="center"/>
          </w:tcPr>
          <w:p w14:paraId="05F0AF3F"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izmjene i dopune Prostornog plana uređenja Općine Koprivnički Bregi putem elektroničkog sustava „ePlanovi“</w:t>
            </w:r>
          </w:p>
        </w:tc>
        <w:tc>
          <w:tcPr>
            <w:tcW w:w="1134" w:type="dxa"/>
            <w:tcBorders>
              <w:top w:val="nil"/>
              <w:left w:val="nil"/>
              <w:bottom w:val="single" w:sz="8" w:space="0" w:color="auto"/>
              <w:right w:val="single" w:sz="8" w:space="0" w:color="auto"/>
            </w:tcBorders>
            <w:vAlign w:val="center"/>
          </w:tcPr>
          <w:p w14:paraId="7D7FB244"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26E6C541"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7E2A0D7A"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Koprivnički Bregi</w:t>
            </w:r>
          </w:p>
        </w:tc>
      </w:tr>
      <w:tr w:rsidR="001E37DF" w:rsidRPr="00F120D7" w14:paraId="06A2A46C"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64530B7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33.</w:t>
            </w:r>
          </w:p>
        </w:tc>
        <w:tc>
          <w:tcPr>
            <w:tcW w:w="3676" w:type="dxa"/>
            <w:tcBorders>
              <w:top w:val="nil"/>
              <w:left w:val="nil"/>
              <w:bottom w:val="single" w:sz="8" w:space="0" w:color="auto"/>
              <w:right w:val="single" w:sz="8" w:space="0" w:color="auto"/>
            </w:tcBorders>
            <w:vAlign w:val="center"/>
          </w:tcPr>
          <w:p w14:paraId="60EB9C9C"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 donošenje Prostornog plana uređenja Općine Legrad putem elektroničkog sustava „ePlanovi“</w:t>
            </w:r>
          </w:p>
        </w:tc>
        <w:tc>
          <w:tcPr>
            <w:tcW w:w="1134" w:type="dxa"/>
            <w:tcBorders>
              <w:top w:val="nil"/>
              <w:left w:val="nil"/>
              <w:bottom w:val="single" w:sz="8" w:space="0" w:color="auto"/>
              <w:right w:val="single" w:sz="8" w:space="0" w:color="auto"/>
            </w:tcBorders>
            <w:vAlign w:val="center"/>
          </w:tcPr>
          <w:p w14:paraId="49E3F85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49BB227B"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2B26B2B5"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Legrad</w:t>
            </w:r>
          </w:p>
        </w:tc>
      </w:tr>
      <w:tr w:rsidR="001E37DF" w:rsidRPr="00F120D7" w14:paraId="5E7CC3C9"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288A6E7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34.</w:t>
            </w:r>
          </w:p>
        </w:tc>
        <w:tc>
          <w:tcPr>
            <w:tcW w:w="3676" w:type="dxa"/>
            <w:tcBorders>
              <w:top w:val="nil"/>
              <w:left w:val="nil"/>
              <w:bottom w:val="single" w:sz="8" w:space="0" w:color="auto"/>
              <w:right w:val="single" w:sz="8" w:space="0" w:color="auto"/>
            </w:tcBorders>
            <w:vAlign w:val="center"/>
          </w:tcPr>
          <w:p w14:paraId="61BCC403"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Izmjene i dopune Prostornog plana uređenja Općine Sveti Petar Orehovec</w:t>
            </w:r>
          </w:p>
        </w:tc>
        <w:tc>
          <w:tcPr>
            <w:tcW w:w="1134" w:type="dxa"/>
            <w:tcBorders>
              <w:top w:val="nil"/>
              <w:left w:val="nil"/>
              <w:bottom w:val="single" w:sz="8" w:space="0" w:color="auto"/>
              <w:right w:val="single" w:sz="8" w:space="0" w:color="auto"/>
            </w:tcBorders>
            <w:vAlign w:val="center"/>
          </w:tcPr>
          <w:p w14:paraId="21B89FCD"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42D746DA"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57C5E8B1"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Sveti Petar Orehovec</w:t>
            </w:r>
          </w:p>
        </w:tc>
      </w:tr>
      <w:tr w:rsidR="001E37DF" w:rsidRPr="00F120D7" w14:paraId="28D24D3D"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736FEF0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35.</w:t>
            </w:r>
          </w:p>
        </w:tc>
        <w:tc>
          <w:tcPr>
            <w:tcW w:w="3676" w:type="dxa"/>
            <w:tcBorders>
              <w:top w:val="nil"/>
              <w:left w:val="nil"/>
              <w:bottom w:val="single" w:sz="8" w:space="0" w:color="auto"/>
              <w:right w:val="single" w:sz="8" w:space="0" w:color="auto"/>
            </w:tcBorders>
            <w:vAlign w:val="center"/>
          </w:tcPr>
          <w:p w14:paraId="2831C6CC"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Prostornog plana uređenja Općine Gola</w:t>
            </w:r>
          </w:p>
        </w:tc>
        <w:tc>
          <w:tcPr>
            <w:tcW w:w="1134" w:type="dxa"/>
            <w:tcBorders>
              <w:top w:val="nil"/>
              <w:left w:val="nil"/>
              <w:bottom w:val="single" w:sz="8" w:space="0" w:color="auto"/>
              <w:right w:val="single" w:sz="8" w:space="0" w:color="auto"/>
            </w:tcBorders>
            <w:vAlign w:val="center"/>
          </w:tcPr>
          <w:p w14:paraId="18A43F4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701C3EFD"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06A95298"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Gola</w:t>
            </w:r>
          </w:p>
        </w:tc>
      </w:tr>
      <w:tr w:rsidR="001E37DF" w:rsidRPr="00F120D7" w14:paraId="3470C305"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26E9E398"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36.</w:t>
            </w:r>
          </w:p>
        </w:tc>
        <w:tc>
          <w:tcPr>
            <w:tcW w:w="3676" w:type="dxa"/>
            <w:tcBorders>
              <w:top w:val="nil"/>
              <w:left w:val="nil"/>
              <w:bottom w:val="single" w:sz="8" w:space="0" w:color="auto"/>
              <w:right w:val="single" w:sz="8" w:space="0" w:color="auto"/>
            </w:tcBorders>
            <w:vAlign w:val="center"/>
          </w:tcPr>
          <w:p w14:paraId="75CD0E2A"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 xml:space="preserve">Pilot projekt razvoja zelene infrastrukture i kružnog gospodarenja </w:t>
            </w:r>
            <w:r w:rsidRPr="00F120D7">
              <w:rPr>
                <w:rFonts w:ascii="Times New Roman" w:eastAsia="Times New Roman" w:hAnsi="Times New Roman" w:cs="Times New Roman"/>
                <w:lang w:eastAsia="hr-HR"/>
              </w:rPr>
              <w:lastRenderedPageBreak/>
              <w:t>prostorom i zgradama u naselju Goričko u općini Koprivnički Ivanec</w:t>
            </w:r>
          </w:p>
        </w:tc>
        <w:tc>
          <w:tcPr>
            <w:tcW w:w="1134" w:type="dxa"/>
            <w:tcBorders>
              <w:top w:val="nil"/>
              <w:left w:val="nil"/>
              <w:bottom w:val="single" w:sz="8" w:space="0" w:color="auto"/>
              <w:right w:val="single" w:sz="8" w:space="0" w:color="auto"/>
            </w:tcBorders>
            <w:vAlign w:val="center"/>
          </w:tcPr>
          <w:p w14:paraId="56A55A31"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lastRenderedPageBreak/>
              <w:t>NPOO</w:t>
            </w:r>
          </w:p>
        </w:tc>
        <w:tc>
          <w:tcPr>
            <w:tcW w:w="1984" w:type="dxa"/>
            <w:tcBorders>
              <w:top w:val="nil"/>
              <w:left w:val="single" w:sz="8" w:space="0" w:color="auto"/>
              <w:bottom w:val="single" w:sz="8" w:space="0" w:color="auto"/>
              <w:right w:val="single" w:sz="8" w:space="0" w:color="auto"/>
            </w:tcBorders>
            <w:vAlign w:val="center"/>
          </w:tcPr>
          <w:p w14:paraId="2081EA3C"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901.336,48</w:t>
            </w:r>
          </w:p>
        </w:tc>
        <w:tc>
          <w:tcPr>
            <w:tcW w:w="1985" w:type="dxa"/>
            <w:tcBorders>
              <w:top w:val="nil"/>
              <w:left w:val="single" w:sz="8" w:space="0" w:color="auto"/>
              <w:bottom w:val="single" w:sz="8" w:space="0" w:color="auto"/>
              <w:right w:val="single" w:sz="8" w:space="0" w:color="auto"/>
            </w:tcBorders>
            <w:vAlign w:val="center"/>
          </w:tcPr>
          <w:p w14:paraId="3303D0DF"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Koprivnički Ivanec</w:t>
            </w:r>
          </w:p>
        </w:tc>
      </w:tr>
      <w:tr w:rsidR="001E37DF" w:rsidRPr="00F120D7" w14:paraId="57C04CC6"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64F65FA5"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37.</w:t>
            </w:r>
          </w:p>
        </w:tc>
        <w:tc>
          <w:tcPr>
            <w:tcW w:w="3676" w:type="dxa"/>
            <w:tcBorders>
              <w:top w:val="nil"/>
              <w:left w:val="nil"/>
              <w:bottom w:val="single" w:sz="8" w:space="0" w:color="auto"/>
              <w:right w:val="single" w:sz="8" w:space="0" w:color="auto"/>
            </w:tcBorders>
            <w:vAlign w:val="center"/>
          </w:tcPr>
          <w:p w14:paraId="5AC02C0F"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socijalnog plana Koprivničko-križevačke županije</w:t>
            </w:r>
          </w:p>
        </w:tc>
        <w:tc>
          <w:tcPr>
            <w:tcW w:w="1134" w:type="dxa"/>
            <w:tcBorders>
              <w:top w:val="nil"/>
              <w:left w:val="nil"/>
              <w:bottom w:val="single" w:sz="8" w:space="0" w:color="auto"/>
              <w:right w:val="single" w:sz="8" w:space="0" w:color="auto"/>
            </w:tcBorders>
            <w:vAlign w:val="center"/>
          </w:tcPr>
          <w:p w14:paraId="1967239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ESF+</w:t>
            </w:r>
          </w:p>
        </w:tc>
        <w:tc>
          <w:tcPr>
            <w:tcW w:w="1984" w:type="dxa"/>
            <w:tcBorders>
              <w:top w:val="nil"/>
              <w:left w:val="single" w:sz="8" w:space="0" w:color="auto"/>
              <w:bottom w:val="single" w:sz="8" w:space="0" w:color="auto"/>
              <w:right w:val="single" w:sz="8" w:space="0" w:color="auto"/>
            </w:tcBorders>
            <w:vAlign w:val="center"/>
          </w:tcPr>
          <w:p w14:paraId="24CD90DB"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71.782,98</w:t>
            </w:r>
          </w:p>
        </w:tc>
        <w:tc>
          <w:tcPr>
            <w:tcW w:w="1985" w:type="dxa"/>
            <w:tcBorders>
              <w:top w:val="nil"/>
              <w:left w:val="single" w:sz="8" w:space="0" w:color="auto"/>
              <w:bottom w:val="single" w:sz="8" w:space="0" w:color="auto"/>
              <w:right w:val="single" w:sz="8" w:space="0" w:color="auto"/>
            </w:tcBorders>
            <w:vAlign w:val="center"/>
          </w:tcPr>
          <w:p w14:paraId="7D3AE717"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Koprivničko-križevačka županija</w:t>
            </w:r>
          </w:p>
        </w:tc>
      </w:tr>
      <w:tr w:rsidR="001E37DF" w:rsidRPr="00F120D7" w14:paraId="2F297B85"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074E25AB"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38.</w:t>
            </w:r>
          </w:p>
        </w:tc>
        <w:tc>
          <w:tcPr>
            <w:tcW w:w="3676" w:type="dxa"/>
            <w:tcBorders>
              <w:top w:val="nil"/>
              <w:left w:val="nil"/>
              <w:bottom w:val="single" w:sz="8" w:space="0" w:color="auto"/>
              <w:right w:val="single" w:sz="8" w:space="0" w:color="auto"/>
            </w:tcBorders>
            <w:vAlign w:val="center"/>
          </w:tcPr>
          <w:p w14:paraId="5C07CD83"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Ulaganje u gradnju silosa, objekta za skladištenje repromaterijala/stelje (montažnih tunela), nabavu robota za mužnju i ostalu opremu za potrebe govedarskog praktikuma</w:t>
            </w:r>
          </w:p>
        </w:tc>
        <w:tc>
          <w:tcPr>
            <w:tcW w:w="1134" w:type="dxa"/>
            <w:tcBorders>
              <w:top w:val="nil"/>
              <w:left w:val="nil"/>
              <w:bottom w:val="single" w:sz="8" w:space="0" w:color="auto"/>
              <w:right w:val="single" w:sz="8" w:space="0" w:color="auto"/>
            </w:tcBorders>
            <w:vAlign w:val="center"/>
          </w:tcPr>
          <w:p w14:paraId="326403DE"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EPFRR</w:t>
            </w:r>
          </w:p>
        </w:tc>
        <w:tc>
          <w:tcPr>
            <w:tcW w:w="1984" w:type="dxa"/>
            <w:tcBorders>
              <w:top w:val="nil"/>
              <w:left w:val="single" w:sz="8" w:space="0" w:color="auto"/>
              <w:bottom w:val="single" w:sz="8" w:space="0" w:color="auto"/>
              <w:right w:val="single" w:sz="8" w:space="0" w:color="auto"/>
            </w:tcBorders>
            <w:vAlign w:val="center"/>
          </w:tcPr>
          <w:p w14:paraId="41F516FE"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212.356,49</w:t>
            </w:r>
          </w:p>
        </w:tc>
        <w:tc>
          <w:tcPr>
            <w:tcW w:w="1985" w:type="dxa"/>
            <w:tcBorders>
              <w:top w:val="nil"/>
              <w:left w:val="single" w:sz="8" w:space="0" w:color="auto"/>
              <w:bottom w:val="single" w:sz="8" w:space="0" w:color="auto"/>
              <w:right w:val="single" w:sz="8" w:space="0" w:color="auto"/>
            </w:tcBorders>
            <w:vAlign w:val="center"/>
          </w:tcPr>
          <w:p w14:paraId="727FE2B7"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Srednja gospodarska škola Križevci</w:t>
            </w:r>
          </w:p>
        </w:tc>
      </w:tr>
      <w:tr w:rsidR="001E37DF" w:rsidRPr="00F120D7" w14:paraId="5EF30E22"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65746CAA"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39.</w:t>
            </w:r>
          </w:p>
        </w:tc>
        <w:tc>
          <w:tcPr>
            <w:tcW w:w="3676" w:type="dxa"/>
            <w:tcBorders>
              <w:top w:val="nil"/>
              <w:left w:val="nil"/>
              <w:bottom w:val="single" w:sz="8" w:space="0" w:color="auto"/>
              <w:right w:val="single" w:sz="8" w:space="0" w:color="auto"/>
            </w:tcBorders>
            <w:vAlign w:val="center"/>
          </w:tcPr>
          <w:p w14:paraId="3E799D4F"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izmjene i dopune Prostornog plana uređenja Općine Podravske Sesvete</w:t>
            </w:r>
          </w:p>
        </w:tc>
        <w:tc>
          <w:tcPr>
            <w:tcW w:w="1134" w:type="dxa"/>
            <w:tcBorders>
              <w:top w:val="nil"/>
              <w:left w:val="nil"/>
              <w:bottom w:val="single" w:sz="8" w:space="0" w:color="auto"/>
              <w:right w:val="single" w:sz="8" w:space="0" w:color="auto"/>
            </w:tcBorders>
            <w:vAlign w:val="center"/>
          </w:tcPr>
          <w:p w14:paraId="5A94BA9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16C6F2FF"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6964E6B1"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Podravske Sesvete</w:t>
            </w:r>
          </w:p>
        </w:tc>
      </w:tr>
      <w:tr w:rsidR="001E37DF" w:rsidRPr="00F120D7" w14:paraId="075FCB76"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2D721587"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40.</w:t>
            </w:r>
          </w:p>
        </w:tc>
        <w:tc>
          <w:tcPr>
            <w:tcW w:w="3676" w:type="dxa"/>
            <w:tcBorders>
              <w:top w:val="nil"/>
              <w:left w:val="nil"/>
              <w:bottom w:val="single" w:sz="8" w:space="0" w:color="auto"/>
              <w:right w:val="single" w:sz="8" w:space="0" w:color="auto"/>
            </w:tcBorders>
            <w:vAlign w:val="center"/>
          </w:tcPr>
          <w:p w14:paraId="0CB0BA75"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Izrada izmjene i dopune Prostornog plana uređenja Općine Molve putem elektroničkog sustava „ePlanovi“</w:t>
            </w:r>
          </w:p>
        </w:tc>
        <w:tc>
          <w:tcPr>
            <w:tcW w:w="1134" w:type="dxa"/>
            <w:tcBorders>
              <w:top w:val="nil"/>
              <w:left w:val="nil"/>
              <w:bottom w:val="single" w:sz="8" w:space="0" w:color="auto"/>
              <w:right w:val="single" w:sz="8" w:space="0" w:color="auto"/>
            </w:tcBorders>
            <w:vAlign w:val="center"/>
          </w:tcPr>
          <w:p w14:paraId="72EDC8E2"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274070A7"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30.000,00</w:t>
            </w:r>
          </w:p>
        </w:tc>
        <w:tc>
          <w:tcPr>
            <w:tcW w:w="1985" w:type="dxa"/>
            <w:tcBorders>
              <w:top w:val="nil"/>
              <w:left w:val="single" w:sz="8" w:space="0" w:color="auto"/>
              <w:bottom w:val="single" w:sz="8" w:space="0" w:color="auto"/>
              <w:right w:val="single" w:sz="8" w:space="0" w:color="auto"/>
            </w:tcBorders>
            <w:vAlign w:val="center"/>
          </w:tcPr>
          <w:p w14:paraId="6E2E7588"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Općina Molve</w:t>
            </w:r>
          </w:p>
        </w:tc>
      </w:tr>
      <w:tr w:rsidR="001E37DF" w:rsidRPr="00F120D7" w14:paraId="1CBD9CA0" w14:textId="77777777" w:rsidTr="00C37BF6">
        <w:trPr>
          <w:trHeight w:val="537"/>
          <w:jc w:val="center"/>
        </w:trPr>
        <w:tc>
          <w:tcPr>
            <w:tcW w:w="709" w:type="dxa"/>
            <w:tcBorders>
              <w:top w:val="nil"/>
              <w:left w:val="single" w:sz="8" w:space="0" w:color="auto"/>
              <w:bottom w:val="single" w:sz="8" w:space="0" w:color="auto"/>
              <w:right w:val="single" w:sz="8" w:space="0" w:color="auto"/>
            </w:tcBorders>
            <w:vAlign w:val="center"/>
          </w:tcPr>
          <w:p w14:paraId="010D147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41.</w:t>
            </w:r>
          </w:p>
        </w:tc>
        <w:tc>
          <w:tcPr>
            <w:tcW w:w="3676" w:type="dxa"/>
            <w:tcBorders>
              <w:top w:val="nil"/>
              <w:left w:val="nil"/>
              <w:bottom w:val="single" w:sz="8" w:space="0" w:color="auto"/>
              <w:right w:val="single" w:sz="8" w:space="0" w:color="auto"/>
            </w:tcBorders>
            <w:vAlign w:val="center"/>
          </w:tcPr>
          <w:p w14:paraId="6DD694E2" w14:textId="77777777" w:rsidR="001E37DF" w:rsidRPr="00F120D7" w:rsidRDefault="001E37DF" w:rsidP="00C37BF6">
            <w:pPr>
              <w:spacing w:after="0" w:line="240" w:lineRule="auto"/>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Specijalističko usavršavanje medicinskih sestara i tehničara u djelatnosti hitne medicine Zavoda za hitnu medicinu Koprivničko-križevačke županije 2</w:t>
            </w:r>
          </w:p>
        </w:tc>
        <w:tc>
          <w:tcPr>
            <w:tcW w:w="1134" w:type="dxa"/>
            <w:tcBorders>
              <w:top w:val="nil"/>
              <w:left w:val="nil"/>
              <w:bottom w:val="single" w:sz="8" w:space="0" w:color="auto"/>
              <w:right w:val="single" w:sz="8" w:space="0" w:color="auto"/>
            </w:tcBorders>
            <w:vAlign w:val="center"/>
          </w:tcPr>
          <w:p w14:paraId="5C1A8DC6" w14:textId="77777777" w:rsidR="001E37DF" w:rsidRPr="00F120D7" w:rsidRDefault="001E37DF" w:rsidP="00C37BF6">
            <w:pPr>
              <w:spacing w:after="0" w:line="240" w:lineRule="auto"/>
              <w:jc w:val="center"/>
              <w:rPr>
                <w:rFonts w:ascii="Times New Roman" w:eastAsia="Times New Roman" w:hAnsi="Times New Roman" w:cs="Times New Roman"/>
                <w:lang w:eastAsia="hr-HR"/>
              </w:rPr>
            </w:pPr>
            <w:r w:rsidRPr="00F120D7">
              <w:rPr>
                <w:rFonts w:ascii="Times New Roman" w:eastAsia="Times New Roman" w:hAnsi="Times New Roman" w:cs="Times New Roman"/>
                <w:lang w:eastAsia="hr-HR"/>
              </w:rPr>
              <w:t>NPOO</w:t>
            </w:r>
          </w:p>
        </w:tc>
        <w:tc>
          <w:tcPr>
            <w:tcW w:w="1984" w:type="dxa"/>
            <w:tcBorders>
              <w:top w:val="nil"/>
              <w:left w:val="single" w:sz="8" w:space="0" w:color="auto"/>
              <w:bottom w:val="single" w:sz="8" w:space="0" w:color="auto"/>
              <w:right w:val="single" w:sz="8" w:space="0" w:color="auto"/>
            </w:tcBorders>
            <w:vAlign w:val="center"/>
          </w:tcPr>
          <w:p w14:paraId="01BDCB10" w14:textId="77777777" w:rsidR="001E37DF" w:rsidRPr="00F120D7" w:rsidRDefault="001E37DF" w:rsidP="00C37BF6">
            <w:pPr>
              <w:spacing w:after="0" w:line="240" w:lineRule="auto"/>
              <w:jc w:val="right"/>
              <w:rPr>
                <w:rFonts w:ascii="Times New Roman" w:eastAsia="Calibri" w:hAnsi="Times New Roman" w:cs="Times New Roman"/>
                <w:shd w:val="clear" w:color="auto" w:fill="FFFFFF"/>
              </w:rPr>
            </w:pPr>
            <w:r w:rsidRPr="00F120D7">
              <w:rPr>
                <w:rFonts w:ascii="Times New Roman" w:eastAsia="Calibri" w:hAnsi="Times New Roman" w:cs="Times New Roman"/>
                <w:shd w:val="clear" w:color="auto" w:fill="FFFFFF"/>
              </w:rPr>
              <w:t>186.304,97</w:t>
            </w:r>
          </w:p>
        </w:tc>
        <w:tc>
          <w:tcPr>
            <w:tcW w:w="1985" w:type="dxa"/>
            <w:tcBorders>
              <w:top w:val="nil"/>
              <w:left w:val="single" w:sz="8" w:space="0" w:color="auto"/>
              <w:bottom w:val="single" w:sz="8" w:space="0" w:color="auto"/>
              <w:right w:val="single" w:sz="8" w:space="0" w:color="auto"/>
            </w:tcBorders>
            <w:vAlign w:val="center"/>
          </w:tcPr>
          <w:p w14:paraId="6923C807" w14:textId="77777777" w:rsidR="001E37DF" w:rsidRPr="00F120D7" w:rsidRDefault="001E37DF" w:rsidP="00C37BF6">
            <w:pPr>
              <w:spacing w:after="0" w:line="240" w:lineRule="auto"/>
              <w:jc w:val="center"/>
              <w:rPr>
                <w:rFonts w:ascii="Times New Roman" w:eastAsia="Calibri" w:hAnsi="Times New Roman" w:cs="Times New Roman"/>
              </w:rPr>
            </w:pPr>
            <w:r w:rsidRPr="00F120D7">
              <w:rPr>
                <w:rFonts w:ascii="Times New Roman" w:eastAsia="Calibri" w:hAnsi="Times New Roman" w:cs="Times New Roman"/>
              </w:rPr>
              <w:t>Zavod za hitnu medicinu Koprivničko-križevačke županije</w:t>
            </w:r>
          </w:p>
        </w:tc>
      </w:tr>
      <w:tr w:rsidR="001E37DF" w:rsidRPr="00F120D7" w14:paraId="66F1E040" w14:textId="77777777" w:rsidTr="00C37BF6">
        <w:trPr>
          <w:trHeight w:val="537"/>
          <w:jc w:val="center"/>
        </w:trPr>
        <w:tc>
          <w:tcPr>
            <w:tcW w:w="5519" w:type="dxa"/>
            <w:gridSpan w:val="3"/>
            <w:tcBorders>
              <w:top w:val="nil"/>
              <w:left w:val="single" w:sz="8" w:space="0" w:color="auto"/>
              <w:bottom w:val="single" w:sz="8" w:space="0" w:color="auto"/>
              <w:right w:val="single" w:sz="8" w:space="0" w:color="auto"/>
            </w:tcBorders>
            <w:vAlign w:val="center"/>
          </w:tcPr>
          <w:p w14:paraId="312E55B5" w14:textId="77777777" w:rsidR="001E37DF" w:rsidRPr="00F120D7" w:rsidRDefault="001E37DF" w:rsidP="00C37BF6">
            <w:pPr>
              <w:spacing w:after="0" w:line="240" w:lineRule="auto"/>
              <w:jc w:val="center"/>
              <w:rPr>
                <w:rFonts w:ascii="Times New Roman" w:eastAsia="Times New Roman" w:hAnsi="Times New Roman" w:cs="Times New Roman"/>
                <w:color w:val="FF0000"/>
                <w:lang w:eastAsia="hr-HR"/>
              </w:rPr>
            </w:pPr>
            <w:r w:rsidRPr="00F120D7">
              <w:rPr>
                <w:rFonts w:ascii="Times New Roman" w:eastAsia="Times New Roman" w:hAnsi="Times New Roman" w:cs="Times New Roman"/>
                <w:b/>
                <w:bCs/>
                <w:lang w:eastAsia="hr-HR"/>
              </w:rPr>
              <w:t>SVEUKUPNA VRIJEDNOST SVIH PROJEKATA KOJIMA JE PRUŽENA STRUČNA I SAVJETODAVNA POMOĆ U PROVEDBI (41):</w:t>
            </w:r>
            <w:r w:rsidRPr="00F120D7">
              <w:rPr>
                <w:rFonts w:ascii="Times New Roman" w:eastAsia="Times New Roman" w:hAnsi="Times New Roman" w:cs="Times New Roman"/>
                <w:lang w:eastAsia="hr-HR"/>
              </w:rPr>
              <w:t> </w:t>
            </w:r>
          </w:p>
        </w:tc>
        <w:tc>
          <w:tcPr>
            <w:tcW w:w="1984" w:type="dxa"/>
            <w:tcBorders>
              <w:top w:val="nil"/>
              <w:left w:val="single" w:sz="8" w:space="0" w:color="auto"/>
              <w:bottom w:val="single" w:sz="8" w:space="0" w:color="auto"/>
              <w:right w:val="single" w:sz="8" w:space="0" w:color="auto"/>
            </w:tcBorders>
            <w:vAlign w:val="center"/>
          </w:tcPr>
          <w:p w14:paraId="599AC157" w14:textId="77777777" w:rsidR="001E37DF" w:rsidRPr="00F120D7" w:rsidRDefault="001E37DF" w:rsidP="00C37BF6">
            <w:pPr>
              <w:spacing w:after="0" w:line="240" w:lineRule="auto"/>
              <w:jc w:val="right"/>
              <w:rPr>
                <w:rFonts w:ascii="Times New Roman" w:eastAsia="Calibri" w:hAnsi="Times New Roman" w:cs="Times New Roman"/>
                <w:b/>
                <w:bCs/>
                <w:color w:val="FF0000"/>
              </w:rPr>
            </w:pPr>
          </w:p>
          <w:p w14:paraId="20F8167A" w14:textId="77777777" w:rsidR="001E37DF" w:rsidRPr="00F120D7" w:rsidRDefault="001E37DF" w:rsidP="00C37BF6">
            <w:pPr>
              <w:jc w:val="right"/>
              <w:rPr>
                <w:rFonts w:ascii="Times New Roman" w:hAnsi="Times New Roman" w:cs="Times New Roman"/>
                <w:b/>
                <w:bCs/>
              </w:rPr>
            </w:pPr>
            <w:r w:rsidRPr="00F120D7">
              <w:rPr>
                <w:rFonts w:ascii="Times New Roman" w:hAnsi="Times New Roman" w:cs="Times New Roman"/>
                <w:b/>
                <w:bCs/>
              </w:rPr>
              <w:t>25.273.138,32</w:t>
            </w:r>
          </w:p>
          <w:p w14:paraId="68830110" w14:textId="77777777" w:rsidR="001E37DF" w:rsidRPr="00F120D7" w:rsidRDefault="001E37DF" w:rsidP="00C37BF6">
            <w:pPr>
              <w:jc w:val="right"/>
              <w:rPr>
                <w:rFonts w:ascii="Times New Roman" w:hAnsi="Times New Roman" w:cs="Times New Roman"/>
                <w:b/>
                <w:bCs/>
              </w:rPr>
            </w:pPr>
            <w:r w:rsidRPr="00F120D7">
              <w:rPr>
                <w:rFonts w:ascii="Times New Roman" w:hAnsi="Times New Roman" w:cs="Times New Roman"/>
                <w:b/>
                <w:bCs/>
              </w:rPr>
              <w:t>EUR</w:t>
            </w:r>
          </w:p>
          <w:p w14:paraId="04CCAC3E" w14:textId="77777777" w:rsidR="001E37DF" w:rsidRPr="00F120D7" w:rsidRDefault="001E37DF" w:rsidP="00C37BF6">
            <w:pPr>
              <w:spacing w:after="0" w:line="240" w:lineRule="auto"/>
              <w:jc w:val="right"/>
              <w:rPr>
                <w:rFonts w:ascii="Times New Roman" w:eastAsia="Calibri" w:hAnsi="Times New Roman" w:cs="Times New Roman"/>
                <w:b/>
                <w:bCs/>
                <w:color w:val="FF0000"/>
              </w:rPr>
            </w:pPr>
          </w:p>
        </w:tc>
        <w:tc>
          <w:tcPr>
            <w:tcW w:w="1985" w:type="dxa"/>
            <w:tcBorders>
              <w:top w:val="nil"/>
              <w:left w:val="single" w:sz="8" w:space="0" w:color="auto"/>
              <w:bottom w:val="single" w:sz="8" w:space="0" w:color="auto"/>
              <w:right w:val="single" w:sz="8" w:space="0" w:color="auto"/>
            </w:tcBorders>
            <w:vAlign w:val="center"/>
          </w:tcPr>
          <w:p w14:paraId="3AF86971" w14:textId="77777777" w:rsidR="001E37DF" w:rsidRPr="00F120D7" w:rsidRDefault="001E37DF" w:rsidP="00C37BF6">
            <w:pPr>
              <w:spacing w:after="0" w:line="240" w:lineRule="auto"/>
              <w:jc w:val="center"/>
              <w:rPr>
                <w:rFonts w:ascii="Times New Roman" w:eastAsia="Calibri" w:hAnsi="Times New Roman" w:cs="Times New Roman"/>
                <w:b/>
                <w:bCs/>
                <w:color w:val="FF0000"/>
              </w:rPr>
            </w:pPr>
            <w:r w:rsidRPr="00F120D7">
              <w:rPr>
                <w:rFonts w:ascii="Times New Roman" w:eastAsia="Calibri" w:hAnsi="Times New Roman" w:cs="Times New Roman"/>
                <w:b/>
                <w:bCs/>
              </w:rPr>
              <w:t>UKUPNO 23 KORISNIKA</w:t>
            </w:r>
          </w:p>
        </w:tc>
      </w:tr>
    </w:tbl>
    <w:p w14:paraId="6834ED09" w14:textId="77777777" w:rsidR="001E37DF" w:rsidRPr="00DD50FA" w:rsidRDefault="001E37DF" w:rsidP="001E37DF">
      <w:pPr>
        <w:spacing w:after="0" w:line="240" w:lineRule="auto"/>
        <w:jc w:val="both"/>
        <w:rPr>
          <w:rFonts w:ascii="Times New Roman" w:eastAsia="Calibri" w:hAnsi="Times New Roman" w:cs="Times New Roman"/>
          <w:b/>
          <w:sz w:val="26"/>
          <w:szCs w:val="26"/>
        </w:rPr>
      </w:pPr>
    </w:p>
    <w:p w14:paraId="517660CA" w14:textId="77777777" w:rsidR="001E37DF" w:rsidRPr="00DD50FA" w:rsidRDefault="001E37DF" w:rsidP="001E37DF">
      <w:pPr>
        <w:spacing w:after="0" w:line="240" w:lineRule="auto"/>
        <w:jc w:val="both"/>
        <w:rPr>
          <w:rFonts w:ascii="Times New Roman" w:hAnsi="Times New Roman" w:cs="Times New Roman"/>
          <w:b/>
          <w:bCs/>
          <w:color w:val="FF0000"/>
          <w:sz w:val="24"/>
          <w:szCs w:val="24"/>
        </w:rPr>
      </w:pPr>
      <w:r w:rsidRPr="00DD50FA">
        <w:rPr>
          <w:rFonts w:ascii="Times New Roman" w:hAnsi="Times New Roman"/>
          <w:bCs/>
          <w:sz w:val="24"/>
          <w:szCs w:val="24"/>
        </w:rPr>
        <w:t xml:space="preserve">U 2024. godini Razvojna agencija PORA KKŽ pružala je stručnu pomoć u provedbi za sveukupno </w:t>
      </w:r>
      <w:r w:rsidRPr="00DD50FA">
        <w:rPr>
          <w:rFonts w:ascii="Times New Roman" w:hAnsi="Times New Roman"/>
          <w:b/>
          <w:sz w:val="24"/>
          <w:szCs w:val="24"/>
        </w:rPr>
        <w:t>41 projekt</w:t>
      </w:r>
      <w:r w:rsidRPr="00DD50FA">
        <w:rPr>
          <w:rFonts w:ascii="Times New Roman" w:hAnsi="Times New Roman"/>
          <w:bCs/>
          <w:sz w:val="24"/>
          <w:szCs w:val="24"/>
        </w:rPr>
        <w:t xml:space="preserve"> ukupne vrijednosti </w:t>
      </w:r>
      <w:r w:rsidRPr="00DD50FA">
        <w:rPr>
          <w:rFonts w:ascii="Times New Roman" w:hAnsi="Times New Roman" w:cs="Times New Roman"/>
          <w:b/>
          <w:bCs/>
          <w:sz w:val="24"/>
          <w:szCs w:val="24"/>
        </w:rPr>
        <w:t>25.273.138,32 eura</w:t>
      </w:r>
      <w:r w:rsidRPr="00DD50FA">
        <w:rPr>
          <w:rFonts w:ascii="Times New Roman" w:hAnsi="Times New Roman" w:cs="Times New Roman"/>
          <w:sz w:val="24"/>
          <w:szCs w:val="24"/>
        </w:rPr>
        <w:t>.</w:t>
      </w:r>
      <w:r w:rsidRPr="00DD50FA">
        <w:rPr>
          <w:rFonts w:ascii="Times New Roman" w:eastAsia="Times New Roman" w:hAnsi="Times New Roman" w:cs="Times New Roman"/>
          <w:b/>
          <w:sz w:val="24"/>
          <w:szCs w:val="24"/>
          <w:lang w:eastAsia="hr-HR"/>
        </w:rPr>
        <w:t xml:space="preserve"> </w:t>
      </w:r>
      <w:r w:rsidRPr="00DD50FA">
        <w:rPr>
          <w:rFonts w:ascii="Times New Roman" w:hAnsi="Times New Roman" w:cs="Times New Roman"/>
          <w:sz w:val="24"/>
          <w:szCs w:val="24"/>
        </w:rPr>
        <w:t>Najveći dio</w:t>
      </w:r>
      <w:r w:rsidRPr="00DD50FA">
        <w:rPr>
          <w:rFonts w:ascii="Times New Roman" w:hAnsi="Times New Roman" w:cs="Times New Roman"/>
          <w:b/>
          <w:bCs/>
          <w:sz w:val="24"/>
          <w:szCs w:val="24"/>
        </w:rPr>
        <w:t xml:space="preserve"> </w:t>
      </w:r>
      <w:r w:rsidRPr="00DD50FA">
        <w:rPr>
          <w:rFonts w:ascii="Times New Roman" w:hAnsi="Times New Roman"/>
          <w:bCs/>
          <w:sz w:val="24"/>
          <w:szCs w:val="24"/>
        </w:rPr>
        <w:t xml:space="preserve">odnosi se na projekte iz područja ranog i predškolskog odgoja i obrazovanja te obrazovanja, </w:t>
      </w:r>
      <w:r w:rsidRPr="00DD50FA">
        <w:rPr>
          <w:rFonts w:ascii="Times New Roman" w:hAnsi="Times New Roman"/>
          <w:b/>
          <w:sz w:val="24"/>
          <w:szCs w:val="24"/>
        </w:rPr>
        <w:t>12 projekata</w:t>
      </w:r>
      <w:r w:rsidRPr="00DD50FA">
        <w:rPr>
          <w:rFonts w:ascii="Times New Roman" w:hAnsi="Times New Roman"/>
          <w:bCs/>
          <w:sz w:val="24"/>
          <w:szCs w:val="24"/>
        </w:rPr>
        <w:t xml:space="preserve"> sveukupne vrijednosti gotovo </w:t>
      </w:r>
      <w:r w:rsidRPr="00DD50FA">
        <w:rPr>
          <w:rFonts w:ascii="Times New Roman" w:hAnsi="Times New Roman"/>
          <w:b/>
          <w:sz w:val="24"/>
          <w:szCs w:val="24"/>
        </w:rPr>
        <w:t>3,5 milijuna eura</w:t>
      </w:r>
      <w:r w:rsidRPr="00DD50FA">
        <w:rPr>
          <w:rFonts w:ascii="Times New Roman" w:hAnsi="Times New Roman"/>
          <w:bCs/>
          <w:sz w:val="24"/>
          <w:szCs w:val="24"/>
        </w:rPr>
        <w:t xml:space="preserve"> kojima će se izgraditi, dograditi i opremiti dječji vrtići na području 8 jedinica lokalne samouprave u Koprivničko-križevačkoj županiji, </w:t>
      </w:r>
      <w:r w:rsidRPr="00DD50FA">
        <w:rPr>
          <w:rFonts w:ascii="Times New Roman" w:hAnsi="Times New Roman"/>
          <w:b/>
          <w:sz w:val="24"/>
          <w:szCs w:val="24"/>
        </w:rPr>
        <w:t xml:space="preserve">1 projekt </w:t>
      </w:r>
      <w:r w:rsidRPr="00DD50FA">
        <w:rPr>
          <w:rFonts w:ascii="Times New Roman" w:hAnsi="Times New Roman"/>
          <w:bCs/>
          <w:sz w:val="24"/>
          <w:szCs w:val="24"/>
        </w:rPr>
        <w:t>izgradnje i</w:t>
      </w:r>
      <w:r w:rsidRPr="00DD50FA">
        <w:rPr>
          <w:rFonts w:ascii="Times New Roman" w:hAnsi="Times New Roman"/>
          <w:b/>
          <w:sz w:val="24"/>
          <w:szCs w:val="24"/>
        </w:rPr>
        <w:t xml:space="preserve"> </w:t>
      </w:r>
      <w:r w:rsidRPr="00DD50FA">
        <w:rPr>
          <w:rFonts w:ascii="Times New Roman" w:hAnsi="Times New Roman"/>
          <w:bCs/>
          <w:sz w:val="24"/>
          <w:szCs w:val="24"/>
        </w:rPr>
        <w:t xml:space="preserve">opremanja dječjeg igrališta u Peterancu, </w:t>
      </w:r>
      <w:r w:rsidRPr="00DD50FA">
        <w:rPr>
          <w:rFonts w:ascii="Times New Roman" w:hAnsi="Times New Roman"/>
          <w:b/>
          <w:sz w:val="24"/>
          <w:szCs w:val="24"/>
        </w:rPr>
        <w:t>1 projekt</w:t>
      </w:r>
      <w:r w:rsidRPr="00DD50FA">
        <w:rPr>
          <w:rFonts w:ascii="Times New Roman" w:hAnsi="Times New Roman"/>
          <w:bCs/>
          <w:sz w:val="24"/>
          <w:szCs w:val="24"/>
        </w:rPr>
        <w:t xml:space="preserve"> izrade projektno-tehničke dokumentacije za izgradnju nove zgrade Srednje škole Koprivnica te </w:t>
      </w:r>
      <w:r w:rsidRPr="00DD50FA">
        <w:rPr>
          <w:rFonts w:ascii="Times New Roman" w:hAnsi="Times New Roman"/>
          <w:b/>
          <w:sz w:val="24"/>
          <w:szCs w:val="24"/>
        </w:rPr>
        <w:t>1 projekt</w:t>
      </w:r>
      <w:r w:rsidRPr="00DD50FA">
        <w:rPr>
          <w:rFonts w:ascii="Times New Roman" w:hAnsi="Times New Roman"/>
          <w:bCs/>
          <w:sz w:val="24"/>
          <w:szCs w:val="24"/>
        </w:rPr>
        <w:t xml:space="preserve"> gradnje silosa i popratnih građevina Srednje gospodarske škole Križevci. Razvojna agencija PORA KKŽ pružala je stručnu pomoć u provedbi </w:t>
      </w:r>
      <w:r w:rsidRPr="00DD50FA">
        <w:rPr>
          <w:rFonts w:ascii="Times New Roman" w:hAnsi="Times New Roman"/>
          <w:b/>
          <w:sz w:val="24"/>
          <w:szCs w:val="24"/>
        </w:rPr>
        <w:t>4 projekta</w:t>
      </w:r>
      <w:r w:rsidRPr="00DD50FA">
        <w:rPr>
          <w:rFonts w:ascii="Times New Roman" w:hAnsi="Times New Roman"/>
          <w:bCs/>
          <w:sz w:val="24"/>
          <w:szCs w:val="24"/>
        </w:rPr>
        <w:t xml:space="preserve"> iz područja turizma i sporta sveukupne vrijednosti gotovo </w:t>
      </w:r>
      <w:r w:rsidRPr="00DD50FA">
        <w:rPr>
          <w:rFonts w:ascii="Times New Roman" w:hAnsi="Times New Roman"/>
          <w:b/>
          <w:sz w:val="24"/>
          <w:szCs w:val="24"/>
        </w:rPr>
        <w:t>16,5 milijuna eura</w:t>
      </w:r>
      <w:r w:rsidRPr="00DD50FA">
        <w:rPr>
          <w:rFonts w:ascii="Times New Roman" w:hAnsi="Times New Roman"/>
          <w:bCs/>
          <w:sz w:val="24"/>
          <w:szCs w:val="24"/>
        </w:rPr>
        <w:t xml:space="preserve"> od kojih izdvajamo projekte obnove, prilagodbe i opremanja dvorca Inkey u Rasinji u infrastrukturu za wellness turizam te projekt prenamjene, obnove i opremanja starog župnog dvora u Goli u interpretacijski centar prirodne baštine sa središnjim motivom slatkovodne ribe Bolen i izgradnje pristaništa na rijeci Dravi. U provedbi je </w:t>
      </w:r>
      <w:r w:rsidRPr="00DD50FA">
        <w:rPr>
          <w:rFonts w:ascii="Times New Roman" w:hAnsi="Times New Roman"/>
          <w:b/>
          <w:sz w:val="24"/>
          <w:szCs w:val="24"/>
        </w:rPr>
        <w:t xml:space="preserve">13 projekata </w:t>
      </w:r>
      <w:r w:rsidRPr="00DD50FA">
        <w:rPr>
          <w:rFonts w:ascii="Times New Roman" w:hAnsi="Times New Roman"/>
          <w:bCs/>
          <w:sz w:val="24"/>
          <w:szCs w:val="24"/>
        </w:rPr>
        <w:t xml:space="preserve">izrade izmjena i dopuna </w:t>
      </w:r>
      <w:r>
        <w:rPr>
          <w:rFonts w:ascii="Times New Roman" w:hAnsi="Times New Roman"/>
          <w:bCs/>
          <w:sz w:val="24"/>
          <w:szCs w:val="24"/>
        </w:rPr>
        <w:t>p</w:t>
      </w:r>
      <w:r w:rsidRPr="00DD50FA">
        <w:rPr>
          <w:rFonts w:ascii="Times New Roman" w:hAnsi="Times New Roman"/>
          <w:bCs/>
          <w:sz w:val="24"/>
          <w:szCs w:val="24"/>
        </w:rPr>
        <w:t xml:space="preserve">rostornih i </w:t>
      </w:r>
      <w:r>
        <w:rPr>
          <w:rFonts w:ascii="Times New Roman" w:hAnsi="Times New Roman"/>
          <w:bCs/>
          <w:sz w:val="24"/>
          <w:szCs w:val="24"/>
        </w:rPr>
        <w:t>u</w:t>
      </w:r>
      <w:r w:rsidRPr="00DD50FA">
        <w:rPr>
          <w:rFonts w:ascii="Times New Roman" w:hAnsi="Times New Roman"/>
          <w:bCs/>
          <w:sz w:val="24"/>
          <w:szCs w:val="24"/>
        </w:rPr>
        <w:t xml:space="preserve">rbanističkog plana za područja 12 JLS-a ukupne vrijednosti 372.000,00 eura te </w:t>
      </w:r>
      <w:r w:rsidRPr="00DD50FA">
        <w:rPr>
          <w:rFonts w:ascii="Times New Roman" w:hAnsi="Times New Roman"/>
          <w:b/>
          <w:sz w:val="24"/>
          <w:szCs w:val="24"/>
        </w:rPr>
        <w:t>1 projekt</w:t>
      </w:r>
      <w:r w:rsidRPr="00DD50FA">
        <w:rPr>
          <w:rFonts w:ascii="Times New Roman" w:hAnsi="Times New Roman"/>
          <w:bCs/>
          <w:sz w:val="24"/>
          <w:szCs w:val="24"/>
        </w:rPr>
        <w:t xml:space="preserve"> izrade socijalnog plana KKŽ. S provedbom se nastavljaju i projekti iz područja pružanja socijalnih usluga, odnosno projekti pružanja usluga potpore i podrške u svakodnevnom životu starijim osobama i osobama s invaliditetom, a trenutno se provode </w:t>
      </w:r>
      <w:r w:rsidRPr="00DD50FA">
        <w:rPr>
          <w:rFonts w:ascii="Times New Roman" w:hAnsi="Times New Roman"/>
          <w:b/>
          <w:sz w:val="24"/>
          <w:szCs w:val="24"/>
        </w:rPr>
        <w:t>3</w:t>
      </w:r>
      <w:r w:rsidRPr="00DD50FA">
        <w:rPr>
          <w:rFonts w:ascii="Times New Roman" w:hAnsi="Times New Roman"/>
          <w:bCs/>
          <w:sz w:val="24"/>
          <w:szCs w:val="24"/>
        </w:rPr>
        <w:t xml:space="preserve"> takva </w:t>
      </w:r>
      <w:r w:rsidRPr="00DD50FA">
        <w:rPr>
          <w:rFonts w:ascii="Times New Roman" w:hAnsi="Times New Roman"/>
          <w:b/>
          <w:sz w:val="24"/>
          <w:szCs w:val="24"/>
        </w:rPr>
        <w:t>projekta</w:t>
      </w:r>
      <w:r w:rsidRPr="00DD50FA">
        <w:rPr>
          <w:rFonts w:ascii="Times New Roman" w:hAnsi="Times New Roman"/>
          <w:bCs/>
          <w:sz w:val="24"/>
          <w:szCs w:val="24"/>
        </w:rPr>
        <w:t xml:space="preserve"> ukupne vrijednosti </w:t>
      </w:r>
      <w:r w:rsidRPr="00DD50FA">
        <w:rPr>
          <w:rFonts w:ascii="Times New Roman" w:hAnsi="Times New Roman"/>
          <w:b/>
          <w:sz w:val="24"/>
          <w:szCs w:val="24"/>
        </w:rPr>
        <w:t xml:space="preserve">2,9 milijuna eura </w:t>
      </w:r>
      <w:r w:rsidRPr="00DD50FA">
        <w:rPr>
          <w:rFonts w:ascii="Times New Roman" w:hAnsi="Times New Roman"/>
          <w:bCs/>
          <w:sz w:val="24"/>
          <w:szCs w:val="24"/>
        </w:rPr>
        <w:t xml:space="preserve">(Program ZAŽELI). Razvojna agencija PORA KKŽ pružala je stručnu pomoć i u provedbi </w:t>
      </w:r>
      <w:r w:rsidRPr="00DD50FA">
        <w:rPr>
          <w:rFonts w:ascii="Times New Roman" w:hAnsi="Times New Roman"/>
          <w:b/>
          <w:sz w:val="24"/>
          <w:szCs w:val="24"/>
        </w:rPr>
        <w:t>3 projekta</w:t>
      </w:r>
      <w:r w:rsidRPr="00DD50FA">
        <w:rPr>
          <w:rFonts w:ascii="Times New Roman" w:hAnsi="Times New Roman"/>
          <w:bCs/>
          <w:sz w:val="24"/>
          <w:szCs w:val="24"/>
        </w:rPr>
        <w:t xml:space="preserve"> iz područja komunalne infrastrukture, </w:t>
      </w:r>
      <w:r w:rsidRPr="00DD50FA">
        <w:rPr>
          <w:rFonts w:ascii="Times New Roman" w:hAnsi="Times New Roman"/>
          <w:b/>
          <w:sz w:val="24"/>
          <w:szCs w:val="24"/>
        </w:rPr>
        <w:t>3 projekta</w:t>
      </w:r>
      <w:r w:rsidRPr="00DD50FA">
        <w:rPr>
          <w:rFonts w:ascii="Times New Roman" w:hAnsi="Times New Roman"/>
          <w:bCs/>
          <w:sz w:val="24"/>
          <w:szCs w:val="24"/>
        </w:rPr>
        <w:t xml:space="preserve"> iz područja zdravstva, </w:t>
      </w:r>
      <w:r w:rsidRPr="00DD50FA">
        <w:rPr>
          <w:rFonts w:ascii="Times New Roman" w:hAnsi="Times New Roman"/>
          <w:b/>
          <w:sz w:val="24"/>
          <w:szCs w:val="24"/>
        </w:rPr>
        <w:t>1 projekt</w:t>
      </w:r>
      <w:r w:rsidRPr="00DD50FA">
        <w:rPr>
          <w:rFonts w:ascii="Times New Roman" w:hAnsi="Times New Roman"/>
          <w:bCs/>
          <w:sz w:val="24"/>
          <w:szCs w:val="24"/>
        </w:rPr>
        <w:t xml:space="preserve"> iz područja civilne zaštite te </w:t>
      </w:r>
      <w:r w:rsidRPr="00DD50FA">
        <w:rPr>
          <w:rFonts w:ascii="Times New Roman" w:hAnsi="Times New Roman"/>
          <w:b/>
          <w:sz w:val="24"/>
          <w:szCs w:val="24"/>
        </w:rPr>
        <w:t xml:space="preserve">1 projekt </w:t>
      </w:r>
      <w:r w:rsidRPr="00DD50FA">
        <w:rPr>
          <w:rFonts w:ascii="Times New Roman" w:hAnsi="Times New Roman"/>
          <w:bCs/>
          <w:sz w:val="24"/>
          <w:szCs w:val="24"/>
        </w:rPr>
        <w:t>iz područja energetske učinkovitosti.</w:t>
      </w:r>
    </w:p>
    <w:p w14:paraId="456BFC26" w14:textId="77777777" w:rsidR="001E37DF" w:rsidRPr="00DD50FA" w:rsidRDefault="001E37DF" w:rsidP="001E37DF">
      <w:pPr>
        <w:spacing w:line="240" w:lineRule="auto"/>
        <w:jc w:val="both"/>
        <w:rPr>
          <w:rFonts w:ascii="Times New Roman" w:hAnsi="Times New Roman"/>
          <w:bCs/>
          <w:sz w:val="24"/>
          <w:szCs w:val="24"/>
        </w:rPr>
      </w:pPr>
      <w:r w:rsidRPr="00DD50FA">
        <w:rPr>
          <w:rFonts w:ascii="Times New Roman" w:hAnsi="Times New Roman"/>
          <w:bCs/>
          <w:sz w:val="24"/>
          <w:szCs w:val="24"/>
        </w:rPr>
        <w:t xml:space="preserve">Stručna pomoć u provedbi pružena je za sveukupno </w:t>
      </w:r>
      <w:r w:rsidRPr="00DD50FA">
        <w:rPr>
          <w:rFonts w:ascii="Times New Roman" w:hAnsi="Times New Roman"/>
          <w:b/>
          <w:sz w:val="24"/>
          <w:szCs w:val="24"/>
        </w:rPr>
        <w:t>23 korisnika</w:t>
      </w:r>
      <w:r w:rsidRPr="00DD50FA">
        <w:rPr>
          <w:rFonts w:ascii="Times New Roman" w:hAnsi="Times New Roman"/>
          <w:bCs/>
          <w:sz w:val="24"/>
          <w:szCs w:val="24"/>
        </w:rPr>
        <w:t xml:space="preserve"> i to jedinice lokalne samouprave, jedinicu regionalne samouprave te ostala javnopravna tijela s područja Koprivničko-križevačke županije.</w:t>
      </w:r>
    </w:p>
    <w:p w14:paraId="5AB524AE" w14:textId="77777777" w:rsidR="001E37DF" w:rsidRPr="00DD50FA" w:rsidRDefault="001E37DF" w:rsidP="001E37DF">
      <w:pPr>
        <w:spacing w:after="0" w:line="240" w:lineRule="auto"/>
        <w:jc w:val="both"/>
        <w:rPr>
          <w:rFonts w:ascii="Times New Roman" w:hAnsi="Times New Roman"/>
          <w:b/>
          <w:sz w:val="24"/>
          <w:szCs w:val="24"/>
        </w:rPr>
      </w:pPr>
      <w:r w:rsidRPr="00DD50FA">
        <w:rPr>
          <w:rFonts w:ascii="Times New Roman" w:hAnsi="Times New Roman"/>
          <w:b/>
          <w:sz w:val="24"/>
          <w:szCs w:val="24"/>
        </w:rPr>
        <w:lastRenderedPageBreak/>
        <w:t>Razvojna agencija PORA KKŽ pruža stručnu pomoć u pripremi i provedbi razvojnih projekata jedinicama lokalne samouprave, jedinici regionalne samouprave te ostalim javnopravnim tijelima s područja KKŽ, (su)financiranih iz EU i nacionalnih izvora, a u okviru Sporazuma o dodjeli bespovratnih sredstava u provedbi aktivnosti jačanja kapaciteta na regionalnoj i lokalnoj razini za korištenje EU fondova Ministarstva regionalnoga razvoja i fondova europske unije.</w:t>
      </w:r>
    </w:p>
    <w:p w14:paraId="724D101C" w14:textId="77777777" w:rsidR="001E37DF" w:rsidRDefault="001E37DF" w:rsidP="001E37DF">
      <w:pPr>
        <w:spacing w:after="0" w:line="240" w:lineRule="auto"/>
        <w:contextualSpacing/>
        <w:jc w:val="both"/>
        <w:rPr>
          <w:rFonts w:ascii="Times New Roman" w:hAnsi="Times New Roman"/>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1276"/>
        <w:gridCol w:w="1559"/>
        <w:gridCol w:w="1609"/>
      </w:tblGrid>
      <w:tr w:rsidR="001E37DF" w:rsidRPr="00F120D7" w14:paraId="1ED24463" w14:textId="77777777" w:rsidTr="00C37BF6">
        <w:trPr>
          <w:jc w:val="center"/>
        </w:trPr>
        <w:tc>
          <w:tcPr>
            <w:tcW w:w="35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4C6EB5"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Pokazatelji uspješnosti</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3FDB5D"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Jed. mjere</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CF4ED0"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Polazna vrijednost</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0F34BD"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Ciljana vrijednost</w:t>
            </w:r>
          </w:p>
          <w:p w14:paraId="5A6712D2"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2024.</w:t>
            </w:r>
          </w:p>
        </w:tc>
        <w:tc>
          <w:tcPr>
            <w:tcW w:w="16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49EC2A"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Realizirano 01.01.-31.12.</w:t>
            </w:r>
          </w:p>
          <w:p w14:paraId="11F5D3FD" w14:textId="77777777" w:rsidR="001E37DF" w:rsidRPr="00F120D7" w:rsidRDefault="001E37DF" w:rsidP="00C37BF6">
            <w:pPr>
              <w:spacing w:after="0" w:line="240" w:lineRule="auto"/>
              <w:jc w:val="center"/>
              <w:rPr>
                <w:rFonts w:ascii="Times New Roman" w:eastAsia="Calibri" w:hAnsi="Times New Roman" w:cs="Times New Roman"/>
                <w:b/>
                <w:bCs/>
              </w:rPr>
            </w:pPr>
            <w:r w:rsidRPr="00F120D7">
              <w:rPr>
                <w:rFonts w:ascii="Times New Roman" w:eastAsia="Calibri" w:hAnsi="Times New Roman" w:cs="Times New Roman"/>
                <w:b/>
                <w:bCs/>
              </w:rPr>
              <w:t>2024.</w:t>
            </w:r>
          </w:p>
        </w:tc>
      </w:tr>
      <w:tr w:rsidR="001E37DF" w:rsidRPr="00F120D7" w14:paraId="715B25E9" w14:textId="77777777" w:rsidTr="00C37BF6">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03965BA4" w14:textId="77777777" w:rsidR="001E37DF" w:rsidRPr="00F120D7" w:rsidRDefault="001E37DF" w:rsidP="00C37BF6">
            <w:pPr>
              <w:spacing w:after="0" w:line="240" w:lineRule="auto"/>
              <w:rPr>
                <w:rFonts w:ascii="Times New Roman" w:eastAsia="Calibri" w:hAnsi="Times New Roman" w:cs="Times New Roman"/>
                <w:bCs/>
              </w:rPr>
            </w:pPr>
            <w:r w:rsidRPr="00F120D7">
              <w:rPr>
                <w:rFonts w:ascii="Times New Roman" w:eastAsia="Calibri" w:hAnsi="Times New Roman" w:cs="Times New Roman"/>
              </w:rPr>
              <w:t>Provedeni novi razvojni projekti financirani iz EU i ostalih izvora (i u postupku provedbe)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46559B"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tcPr>
          <w:p w14:paraId="374EE989"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6961F885"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5</w:t>
            </w:r>
          </w:p>
        </w:tc>
        <w:tc>
          <w:tcPr>
            <w:tcW w:w="1609" w:type="dxa"/>
            <w:tcBorders>
              <w:top w:val="single" w:sz="4" w:space="0" w:color="auto"/>
              <w:left w:val="single" w:sz="4" w:space="0" w:color="auto"/>
              <w:bottom w:val="single" w:sz="4" w:space="0" w:color="auto"/>
              <w:right w:val="single" w:sz="4" w:space="0" w:color="auto"/>
            </w:tcBorders>
            <w:vAlign w:val="center"/>
          </w:tcPr>
          <w:p w14:paraId="6E87F8A8" w14:textId="77777777" w:rsidR="001E37DF" w:rsidRPr="00F120D7" w:rsidRDefault="001E37DF" w:rsidP="00C37BF6">
            <w:pPr>
              <w:spacing w:after="0" w:line="240" w:lineRule="auto"/>
              <w:jc w:val="center"/>
              <w:rPr>
                <w:rFonts w:ascii="Times New Roman" w:eastAsia="Calibri" w:hAnsi="Times New Roman" w:cs="Times New Roman"/>
                <w:bCs/>
                <w:color w:val="FF0000"/>
              </w:rPr>
            </w:pPr>
            <w:r w:rsidRPr="00F120D7">
              <w:rPr>
                <w:rFonts w:ascii="Times New Roman" w:eastAsia="Calibri" w:hAnsi="Times New Roman" w:cs="Times New Roman"/>
                <w:bCs/>
              </w:rPr>
              <w:t xml:space="preserve">3 </w:t>
            </w:r>
          </w:p>
        </w:tc>
      </w:tr>
      <w:tr w:rsidR="001E37DF" w:rsidRPr="00F120D7" w14:paraId="054EE4D2" w14:textId="77777777" w:rsidTr="00C37BF6">
        <w:trPr>
          <w:jc w:val="center"/>
        </w:trPr>
        <w:tc>
          <w:tcPr>
            <w:tcW w:w="3539" w:type="dxa"/>
            <w:tcBorders>
              <w:top w:val="single" w:sz="4" w:space="0" w:color="auto"/>
              <w:left w:val="single" w:sz="4" w:space="0" w:color="auto"/>
              <w:bottom w:val="single" w:sz="4" w:space="0" w:color="auto"/>
              <w:right w:val="single" w:sz="4" w:space="0" w:color="auto"/>
            </w:tcBorders>
            <w:hideMark/>
          </w:tcPr>
          <w:p w14:paraId="50CA569A" w14:textId="77777777" w:rsidR="001E37DF" w:rsidRPr="00F120D7" w:rsidRDefault="001E37DF" w:rsidP="00C37BF6">
            <w:pPr>
              <w:spacing w:after="0" w:line="240" w:lineRule="auto"/>
              <w:rPr>
                <w:rFonts w:ascii="Times New Roman" w:eastAsia="Calibri" w:hAnsi="Times New Roman" w:cs="Times New Roman"/>
                <w:lang w:eastAsia="zh-CN"/>
              </w:rPr>
            </w:pPr>
            <w:r w:rsidRPr="00F120D7">
              <w:rPr>
                <w:rFonts w:ascii="Times New Roman" w:eastAsia="Calibri" w:hAnsi="Times New Roman" w:cs="Times New Roman"/>
              </w:rPr>
              <w:t>Stručna pomoć u pripremi i provedbi razvojnih projekata javnopravnih tijela i javnih ustanova s područja KKŽ financiranih iz EU izvora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92EA1"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tcPr>
          <w:p w14:paraId="472ECAC7"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62</w:t>
            </w:r>
          </w:p>
        </w:tc>
        <w:tc>
          <w:tcPr>
            <w:tcW w:w="1559" w:type="dxa"/>
            <w:tcBorders>
              <w:top w:val="single" w:sz="4" w:space="0" w:color="auto"/>
              <w:left w:val="single" w:sz="4" w:space="0" w:color="auto"/>
              <w:bottom w:val="single" w:sz="4" w:space="0" w:color="auto"/>
              <w:right w:val="single" w:sz="4" w:space="0" w:color="auto"/>
            </w:tcBorders>
            <w:vAlign w:val="center"/>
          </w:tcPr>
          <w:p w14:paraId="69260A89"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50</w:t>
            </w:r>
          </w:p>
        </w:tc>
        <w:tc>
          <w:tcPr>
            <w:tcW w:w="1609" w:type="dxa"/>
            <w:tcBorders>
              <w:top w:val="single" w:sz="4" w:space="0" w:color="auto"/>
              <w:left w:val="single" w:sz="4" w:space="0" w:color="auto"/>
              <w:bottom w:val="single" w:sz="4" w:space="0" w:color="auto"/>
              <w:right w:val="single" w:sz="4" w:space="0" w:color="auto"/>
            </w:tcBorders>
            <w:vAlign w:val="center"/>
          </w:tcPr>
          <w:p w14:paraId="736F063A" w14:textId="77777777" w:rsidR="001E37DF" w:rsidRPr="00F120D7" w:rsidRDefault="001E37DF" w:rsidP="00C37BF6">
            <w:pPr>
              <w:spacing w:after="0" w:line="240" w:lineRule="auto"/>
              <w:jc w:val="center"/>
              <w:rPr>
                <w:rFonts w:ascii="Times New Roman" w:eastAsia="Calibri" w:hAnsi="Times New Roman" w:cs="Times New Roman"/>
                <w:bCs/>
                <w:color w:val="FF0000"/>
              </w:rPr>
            </w:pPr>
            <w:r w:rsidRPr="00F120D7">
              <w:rPr>
                <w:rFonts w:ascii="Times New Roman" w:eastAsia="Calibri" w:hAnsi="Times New Roman" w:cs="Times New Roman"/>
                <w:bCs/>
              </w:rPr>
              <w:t xml:space="preserve">82 </w:t>
            </w:r>
          </w:p>
        </w:tc>
      </w:tr>
      <w:tr w:rsidR="001E37DF" w:rsidRPr="00F120D7" w14:paraId="69B3846A" w14:textId="77777777" w:rsidTr="00C37BF6">
        <w:trPr>
          <w:trHeight w:val="1332"/>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EAD089B" w14:textId="77777777" w:rsidR="001E37DF" w:rsidRPr="00F120D7" w:rsidRDefault="001E37DF" w:rsidP="00C37BF6">
            <w:pPr>
              <w:spacing w:after="0" w:line="240" w:lineRule="auto"/>
              <w:rPr>
                <w:rFonts w:ascii="Times New Roman" w:eastAsia="Calibri" w:hAnsi="Times New Roman" w:cs="Times New Roman"/>
                <w:bCs/>
              </w:rPr>
            </w:pPr>
            <w:r w:rsidRPr="00F120D7">
              <w:rPr>
                <w:rFonts w:ascii="Times New Roman" w:eastAsia="Calibri" w:hAnsi="Times New Roman" w:cs="Times New Roman"/>
                <w:bCs/>
              </w:rPr>
              <w:t>Informativne i edukativne aktivnosti za javnopravna tijela i javne ustanove s područja KKŽ (organizirane prezentacije, radionice i edukacije za pripremu i provedbu EU projekata)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30049E"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broj</w:t>
            </w:r>
          </w:p>
        </w:tc>
        <w:tc>
          <w:tcPr>
            <w:tcW w:w="1276" w:type="dxa"/>
            <w:tcBorders>
              <w:top w:val="single" w:sz="4" w:space="0" w:color="auto"/>
              <w:left w:val="single" w:sz="4" w:space="0" w:color="auto"/>
              <w:bottom w:val="single" w:sz="4" w:space="0" w:color="auto"/>
              <w:right w:val="single" w:sz="4" w:space="0" w:color="auto"/>
            </w:tcBorders>
            <w:vAlign w:val="center"/>
          </w:tcPr>
          <w:p w14:paraId="402DE0DD"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8</w:t>
            </w:r>
          </w:p>
        </w:tc>
        <w:tc>
          <w:tcPr>
            <w:tcW w:w="1559" w:type="dxa"/>
            <w:tcBorders>
              <w:top w:val="single" w:sz="4" w:space="0" w:color="auto"/>
              <w:left w:val="single" w:sz="4" w:space="0" w:color="auto"/>
              <w:bottom w:val="single" w:sz="4" w:space="0" w:color="auto"/>
              <w:right w:val="single" w:sz="4" w:space="0" w:color="auto"/>
            </w:tcBorders>
            <w:vAlign w:val="center"/>
          </w:tcPr>
          <w:p w14:paraId="3B18525B" w14:textId="77777777" w:rsidR="001E37DF" w:rsidRPr="00F120D7" w:rsidRDefault="001E37DF" w:rsidP="00C37BF6">
            <w:pPr>
              <w:spacing w:after="0" w:line="240" w:lineRule="auto"/>
              <w:jc w:val="center"/>
              <w:rPr>
                <w:rFonts w:ascii="Times New Roman" w:eastAsia="Calibri" w:hAnsi="Times New Roman" w:cs="Times New Roman"/>
                <w:bCs/>
              </w:rPr>
            </w:pPr>
            <w:r w:rsidRPr="00F120D7">
              <w:rPr>
                <w:rFonts w:ascii="Times New Roman" w:eastAsia="Calibri" w:hAnsi="Times New Roman" w:cs="Times New Roman"/>
                <w:bCs/>
              </w:rPr>
              <w:t>8</w:t>
            </w:r>
          </w:p>
        </w:tc>
        <w:tc>
          <w:tcPr>
            <w:tcW w:w="1609" w:type="dxa"/>
            <w:tcBorders>
              <w:top w:val="single" w:sz="4" w:space="0" w:color="auto"/>
              <w:left w:val="single" w:sz="4" w:space="0" w:color="auto"/>
              <w:bottom w:val="single" w:sz="4" w:space="0" w:color="auto"/>
              <w:right w:val="single" w:sz="4" w:space="0" w:color="auto"/>
            </w:tcBorders>
            <w:vAlign w:val="center"/>
          </w:tcPr>
          <w:p w14:paraId="2F1C3F42" w14:textId="77777777" w:rsidR="001E37DF" w:rsidRPr="00F120D7" w:rsidRDefault="001E37DF" w:rsidP="00C37BF6">
            <w:pPr>
              <w:spacing w:after="0" w:line="240" w:lineRule="auto"/>
              <w:jc w:val="center"/>
              <w:rPr>
                <w:rFonts w:ascii="Times New Roman" w:eastAsia="Calibri" w:hAnsi="Times New Roman" w:cs="Times New Roman"/>
                <w:bCs/>
                <w:color w:val="FF0000"/>
              </w:rPr>
            </w:pPr>
            <w:r w:rsidRPr="00F120D7">
              <w:rPr>
                <w:rFonts w:ascii="Times New Roman" w:eastAsia="Calibri" w:hAnsi="Times New Roman" w:cs="Times New Roman"/>
                <w:bCs/>
              </w:rPr>
              <w:t>22</w:t>
            </w:r>
          </w:p>
        </w:tc>
      </w:tr>
    </w:tbl>
    <w:p w14:paraId="26EBD49D" w14:textId="77777777" w:rsidR="001E37DF" w:rsidRPr="00DD50FA" w:rsidRDefault="001E37DF" w:rsidP="001E37DF">
      <w:pPr>
        <w:rPr>
          <w:rFonts w:ascii="Times New Roman" w:eastAsia="Calibri" w:hAnsi="Times New Roman" w:cs="Times New Roman"/>
          <w:b/>
          <w:sz w:val="24"/>
          <w:szCs w:val="24"/>
        </w:rPr>
      </w:pPr>
    </w:p>
    <w:bookmarkEnd w:id="0"/>
    <w:bookmarkEnd w:id="1"/>
    <w:p w14:paraId="30E0C5E2" w14:textId="30C220C4" w:rsidR="00F812DE" w:rsidRPr="000C5685" w:rsidRDefault="000C5685" w:rsidP="000C568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3.2.3. </w:t>
      </w:r>
      <w:r w:rsidR="00A5097F" w:rsidRPr="000C5685">
        <w:rPr>
          <w:rFonts w:ascii="Times New Roman" w:hAnsi="Times New Roman"/>
          <w:b/>
          <w:sz w:val="24"/>
          <w:szCs w:val="24"/>
        </w:rPr>
        <w:t xml:space="preserve">AKTIVNOST K100014 NABAVA OPREME ZA RAZVOJNU AGENCIJU </w:t>
      </w:r>
      <w:r w:rsidR="00F812DE" w:rsidRPr="000C5685">
        <w:rPr>
          <w:rFonts w:ascii="Times New Roman" w:hAnsi="Times New Roman"/>
          <w:b/>
          <w:sz w:val="24"/>
          <w:szCs w:val="24"/>
        </w:rPr>
        <w:t xml:space="preserve"> </w:t>
      </w:r>
    </w:p>
    <w:p w14:paraId="24BBBCE7" w14:textId="77777777" w:rsidR="00A5097F" w:rsidRPr="00E721E2" w:rsidRDefault="00A5097F" w:rsidP="00A5097F">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2972"/>
        <w:gridCol w:w="1134"/>
        <w:gridCol w:w="1418"/>
        <w:gridCol w:w="1696"/>
        <w:gridCol w:w="1796"/>
      </w:tblGrid>
      <w:tr w:rsidR="00A5097F" w:rsidRPr="00E721E2" w14:paraId="2E3D22A2" w14:textId="77777777" w:rsidTr="0086085B">
        <w:tc>
          <w:tcPr>
            <w:tcW w:w="29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22221D" w14:textId="77777777" w:rsidR="00A5097F" w:rsidRPr="00E721E2" w:rsidRDefault="00A5097F" w:rsidP="0086085B">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Pokazatelji uspješnosti</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837C0A" w14:textId="4AD1BB0F" w:rsidR="00A5097F" w:rsidRPr="00E721E2" w:rsidRDefault="00A5097F" w:rsidP="0086085B">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 xml:space="preserve">Jed. </w:t>
            </w:r>
            <w:r w:rsidR="00C732CE" w:rsidRPr="00E721E2">
              <w:rPr>
                <w:rFonts w:ascii="Times New Roman" w:eastAsia="Calibri" w:hAnsi="Times New Roman" w:cs="Times New Roman"/>
                <w:b/>
                <w:bCs/>
                <w:lang w:val="hr-HR"/>
              </w:rPr>
              <w:t>M</w:t>
            </w:r>
            <w:r w:rsidRPr="00E721E2">
              <w:rPr>
                <w:rFonts w:ascii="Times New Roman" w:eastAsia="Calibri" w:hAnsi="Times New Roman" w:cs="Times New Roman"/>
                <w:b/>
                <w:bCs/>
                <w:lang w:val="hr-HR"/>
              </w:rPr>
              <w:t>jere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3A6CBD" w14:textId="77777777" w:rsidR="00A5097F" w:rsidRPr="00E721E2" w:rsidRDefault="00A5097F" w:rsidP="0086085B">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Polazna vrijednost</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6A7816" w14:textId="2E61F47C" w:rsidR="00A5097F" w:rsidRPr="00E721E2" w:rsidRDefault="00A5097F" w:rsidP="0086085B">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Ciljana vrijednost 202</w:t>
            </w:r>
            <w:r w:rsidR="009A267D" w:rsidRPr="00E721E2">
              <w:rPr>
                <w:rFonts w:ascii="Times New Roman" w:eastAsia="Calibri" w:hAnsi="Times New Roman" w:cs="Times New Roman"/>
                <w:b/>
                <w:bCs/>
                <w:lang w:val="hr-HR"/>
              </w:rPr>
              <w:t>4</w:t>
            </w:r>
            <w:r w:rsidRPr="00E721E2">
              <w:rPr>
                <w:rFonts w:ascii="Times New Roman" w:eastAsia="Calibri" w:hAnsi="Times New Roman" w:cs="Times New Roman"/>
                <w:b/>
                <w:bCs/>
                <w:lang w:val="hr-HR"/>
              </w:rPr>
              <w:t>.</w:t>
            </w:r>
          </w:p>
        </w:tc>
        <w:tc>
          <w:tcPr>
            <w:tcW w:w="1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8DAD46" w14:textId="52CAC583" w:rsidR="00A5097F" w:rsidRPr="00E721E2" w:rsidRDefault="00A5097F" w:rsidP="0086085B">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Realizirano 01.01.-3</w:t>
            </w:r>
            <w:r w:rsidR="004B6F89">
              <w:rPr>
                <w:rFonts w:ascii="Times New Roman" w:eastAsia="Calibri" w:hAnsi="Times New Roman" w:cs="Times New Roman"/>
                <w:b/>
                <w:bCs/>
                <w:lang w:val="hr-HR"/>
              </w:rPr>
              <w:t>1</w:t>
            </w:r>
            <w:r w:rsidRPr="00E721E2">
              <w:rPr>
                <w:rFonts w:ascii="Times New Roman" w:eastAsia="Calibri" w:hAnsi="Times New Roman" w:cs="Times New Roman"/>
                <w:b/>
                <w:bCs/>
                <w:lang w:val="hr-HR"/>
              </w:rPr>
              <w:t>.</w:t>
            </w:r>
            <w:r w:rsidR="004B6F89">
              <w:rPr>
                <w:rFonts w:ascii="Times New Roman" w:eastAsia="Calibri" w:hAnsi="Times New Roman" w:cs="Times New Roman"/>
                <w:b/>
                <w:bCs/>
                <w:lang w:val="hr-HR"/>
              </w:rPr>
              <w:t>12</w:t>
            </w:r>
            <w:r w:rsidRPr="00E721E2">
              <w:rPr>
                <w:rFonts w:ascii="Times New Roman" w:eastAsia="Calibri" w:hAnsi="Times New Roman" w:cs="Times New Roman"/>
                <w:b/>
                <w:bCs/>
                <w:lang w:val="hr-HR"/>
              </w:rPr>
              <w:t>. 2024.</w:t>
            </w:r>
          </w:p>
        </w:tc>
      </w:tr>
      <w:tr w:rsidR="00A5097F" w:rsidRPr="00E721E2" w14:paraId="79698326" w14:textId="77777777" w:rsidTr="0086085B">
        <w:tc>
          <w:tcPr>
            <w:tcW w:w="2972" w:type="dxa"/>
            <w:tcBorders>
              <w:top w:val="single" w:sz="4" w:space="0" w:color="auto"/>
              <w:left w:val="single" w:sz="4" w:space="0" w:color="auto"/>
              <w:bottom w:val="single" w:sz="4" w:space="0" w:color="auto"/>
              <w:right w:val="single" w:sz="4" w:space="0" w:color="auto"/>
            </w:tcBorders>
            <w:vAlign w:val="center"/>
            <w:hideMark/>
          </w:tcPr>
          <w:p w14:paraId="7A667046" w14:textId="63A81BDE" w:rsidR="00A5097F" w:rsidRPr="00E721E2" w:rsidRDefault="00A5097F" w:rsidP="0086085B">
            <w:pPr>
              <w:rPr>
                <w:rFonts w:ascii="Times New Roman" w:hAnsi="Times New Roman" w:cs="Times New Roman"/>
                <w:lang w:val="hr-HR"/>
              </w:rPr>
            </w:pPr>
            <w:r w:rsidRPr="00E721E2">
              <w:rPr>
                <w:rFonts w:ascii="Times New Roman" w:hAnsi="Times New Roman" w:cs="Times New Roman"/>
                <w:lang w:val="hr-HR"/>
              </w:rPr>
              <w:t>Nabavljena uredska oprema i namještaj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E1BF3" w14:textId="46332581" w:rsidR="00A5097F" w:rsidRPr="00E721E2" w:rsidRDefault="00C732CE" w:rsidP="0086085B">
            <w:pPr>
              <w:jc w:val="center"/>
              <w:rPr>
                <w:rFonts w:ascii="Times New Roman" w:hAnsi="Times New Roman" w:cs="Times New Roman"/>
                <w:lang w:val="hr-HR"/>
              </w:rPr>
            </w:pPr>
            <w:r w:rsidRPr="00E721E2">
              <w:rPr>
                <w:rFonts w:ascii="Times New Roman" w:hAnsi="Times New Roman" w:cs="Times New Roman"/>
                <w:lang w:val="hr-HR"/>
              </w:rPr>
              <w:t>K</w:t>
            </w:r>
            <w:r w:rsidR="00A5097F" w:rsidRPr="00E721E2">
              <w:rPr>
                <w:rFonts w:ascii="Times New Roman" w:hAnsi="Times New Roman" w:cs="Times New Roman"/>
                <w:lang w:val="hr-HR"/>
              </w:rPr>
              <w:t>omad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3101F" w14:textId="77777777" w:rsidR="00A5097F" w:rsidRPr="00E721E2" w:rsidRDefault="00A5097F" w:rsidP="0086085B">
            <w:pPr>
              <w:jc w:val="center"/>
              <w:rPr>
                <w:rFonts w:ascii="Times New Roman" w:hAnsi="Times New Roman" w:cs="Times New Roman"/>
                <w:lang w:val="hr-HR"/>
              </w:rPr>
            </w:pPr>
            <w:r w:rsidRPr="00E721E2">
              <w:rPr>
                <w:rFonts w:ascii="Times New Roman" w:hAnsi="Times New Roman" w:cs="Times New Roman"/>
                <w:lang w:val="hr-HR"/>
              </w:rPr>
              <w:t>1</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B7E3CBE" w14:textId="77777777" w:rsidR="00A5097F" w:rsidRPr="00E721E2" w:rsidRDefault="00A5097F" w:rsidP="0086085B">
            <w:pPr>
              <w:jc w:val="center"/>
              <w:rPr>
                <w:rFonts w:ascii="Times New Roman" w:hAnsi="Times New Roman" w:cs="Times New Roman"/>
                <w:lang w:val="hr-HR"/>
              </w:rPr>
            </w:pPr>
            <w:r w:rsidRPr="00E721E2">
              <w:rPr>
                <w:rFonts w:ascii="Times New Roman" w:hAnsi="Times New Roman" w:cs="Times New Roman"/>
                <w:lang w:val="hr-HR"/>
              </w:rPr>
              <w:t>1</w:t>
            </w:r>
          </w:p>
        </w:tc>
        <w:tc>
          <w:tcPr>
            <w:tcW w:w="1796" w:type="dxa"/>
            <w:tcBorders>
              <w:top w:val="single" w:sz="4" w:space="0" w:color="auto"/>
              <w:left w:val="single" w:sz="4" w:space="0" w:color="auto"/>
              <w:bottom w:val="single" w:sz="4" w:space="0" w:color="auto"/>
              <w:right w:val="single" w:sz="4" w:space="0" w:color="auto"/>
            </w:tcBorders>
            <w:vAlign w:val="center"/>
            <w:hideMark/>
          </w:tcPr>
          <w:p w14:paraId="64ED29CD" w14:textId="77777777" w:rsidR="00A5097F" w:rsidRPr="00E721E2" w:rsidRDefault="00A5097F" w:rsidP="0086085B">
            <w:pPr>
              <w:jc w:val="center"/>
              <w:rPr>
                <w:rFonts w:ascii="Times New Roman" w:hAnsi="Times New Roman" w:cs="Times New Roman"/>
                <w:lang w:val="hr-HR"/>
              </w:rPr>
            </w:pPr>
            <w:r w:rsidRPr="00E721E2">
              <w:rPr>
                <w:rFonts w:ascii="Times New Roman" w:hAnsi="Times New Roman" w:cs="Times New Roman"/>
                <w:lang w:val="hr-HR"/>
              </w:rPr>
              <w:t>0</w:t>
            </w:r>
          </w:p>
        </w:tc>
      </w:tr>
    </w:tbl>
    <w:p w14:paraId="58A0A982" w14:textId="0D021D8D" w:rsidR="004B6F89" w:rsidRPr="00E721E2" w:rsidRDefault="004B6F89" w:rsidP="00A5097F">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Tijekom 2024. godine po ovoj aktivnosti nije bilo nabave opreme.</w:t>
      </w:r>
    </w:p>
    <w:p w14:paraId="02B98DFF" w14:textId="77777777" w:rsidR="007A0E68" w:rsidRPr="00E721E2" w:rsidRDefault="007A0E68" w:rsidP="00A5097F">
      <w:pPr>
        <w:suppressAutoHyphens/>
        <w:spacing w:after="0" w:line="240" w:lineRule="auto"/>
        <w:jc w:val="both"/>
        <w:rPr>
          <w:rFonts w:ascii="Times New Roman" w:eastAsia="Calibri" w:hAnsi="Times New Roman" w:cs="Times New Roman"/>
          <w:sz w:val="24"/>
          <w:szCs w:val="24"/>
          <w:lang w:eastAsia="ar-SA"/>
        </w:rPr>
      </w:pPr>
    </w:p>
    <w:p w14:paraId="0EBDC626" w14:textId="6EE1EF5B" w:rsidR="004B6F89" w:rsidRPr="000C5685" w:rsidRDefault="000C5685" w:rsidP="000C5685">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3.2.4. </w:t>
      </w:r>
      <w:r w:rsidR="004B6F89" w:rsidRPr="000C5685">
        <w:rPr>
          <w:rFonts w:ascii="Times New Roman" w:hAnsi="Times New Roman"/>
          <w:b/>
          <w:sz w:val="24"/>
          <w:szCs w:val="24"/>
        </w:rPr>
        <w:t xml:space="preserve">AKTIVNOST K100099 NABAVA OPREME ZA RAZVOJNU AGENCIJU </w:t>
      </w:r>
      <w:r>
        <w:rPr>
          <w:rFonts w:ascii="Times New Roman" w:hAnsi="Times New Roman"/>
          <w:b/>
          <w:sz w:val="24"/>
          <w:szCs w:val="24"/>
        </w:rPr>
        <w:br/>
        <w:t xml:space="preserve">                      </w:t>
      </w:r>
      <w:r w:rsidR="004B6F89" w:rsidRPr="000C5685">
        <w:rPr>
          <w:rFonts w:ascii="Times New Roman" w:hAnsi="Times New Roman"/>
          <w:b/>
          <w:sz w:val="24"/>
          <w:szCs w:val="24"/>
        </w:rPr>
        <w:t>– EU PROJEKTI</w:t>
      </w:r>
    </w:p>
    <w:p w14:paraId="5F17C114" w14:textId="77777777" w:rsidR="007A0E68" w:rsidRPr="00E721E2" w:rsidRDefault="007A0E68" w:rsidP="00A5097F">
      <w:pPr>
        <w:suppressAutoHyphens/>
        <w:spacing w:after="0" w:line="240" w:lineRule="auto"/>
        <w:jc w:val="both"/>
        <w:rPr>
          <w:rFonts w:ascii="Times New Roman" w:eastAsia="Calibri" w:hAnsi="Times New Roman" w:cs="Times New Roman"/>
          <w:sz w:val="24"/>
          <w:szCs w:val="24"/>
          <w:lang w:eastAsia="ar-SA"/>
        </w:rPr>
      </w:pPr>
    </w:p>
    <w:tbl>
      <w:tblPr>
        <w:tblStyle w:val="TableGrid"/>
        <w:tblW w:w="0" w:type="auto"/>
        <w:tblLook w:val="04A0" w:firstRow="1" w:lastRow="0" w:firstColumn="1" w:lastColumn="0" w:noHBand="0" w:noVBand="1"/>
      </w:tblPr>
      <w:tblGrid>
        <w:gridCol w:w="2972"/>
        <w:gridCol w:w="1134"/>
        <w:gridCol w:w="1418"/>
        <w:gridCol w:w="1696"/>
        <w:gridCol w:w="1796"/>
      </w:tblGrid>
      <w:tr w:rsidR="004B6F89" w:rsidRPr="00E721E2" w14:paraId="1865B704" w14:textId="77777777" w:rsidTr="003A36F0">
        <w:tc>
          <w:tcPr>
            <w:tcW w:w="29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8E5ADA" w14:textId="77777777" w:rsidR="004B6F89" w:rsidRPr="00E721E2" w:rsidRDefault="004B6F89" w:rsidP="003A36F0">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Pokazatelji uspješnosti</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405708" w14:textId="3A647433" w:rsidR="004B6F89" w:rsidRPr="00E721E2" w:rsidRDefault="004B6F89" w:rsidP="003A36F0">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 xml:space="preserve">Jed. </w:t>
            </w:r>
            <w:r w:rsidR="00C732CE" w:rsidRPr="00E721E2">
              <w:rPr>
                <w:rFonts w:ascii="Times New Roman" w:eastAsia="Calibri" w:hAnsi="Times New Roman" w:cs="Times New Roman"/>
                <w:b/>
                <w:bCs/>
                <w:lang w:val="hr-HR"/>
              </w:rPr>
              <w:t>M</w:t>
            </w:r>
            <w:r w:rsidRPr="00E721E2">
              <w:rPr>
                <w:rFonts w:ascii="Times New Roman" w:eastAsia="Calibri" w:hAnsi="Times New Roman" w:cs="Times New Roman"/>
                <w:b/>
                <w:bCs/>
                <w:lang w:val="hr-HR"/>
              </w:rPr>
              <w:t>jere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578EDE" w14:textId="77777777" w:rsidR="004B6F89" w:rsidRPr="00E721E2" w:rsidRDefault="004B6F89" w:rsidP="003A36F0">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Polazna vrijednost</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10C6FE" w14:textId="77777777" w:rsidR="004B6F89" w:rsidRPr="00E721E2" w:rsidRDefault="004B6F89" w:rsidP="003A36F0">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Ciljana vrijednost 2024.</w:t>
            </w:r>
          </w:p>
        </w:tc>
        <w:tc>
          <w:tcPr>
            <w:tcW w:w="1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AEF123" w14:textId="77777777" w:rsidR="004B6F89" w:rsidRPr="00E721E2" w:rsidRDefault="004B6F89" w:rsidP="003A36F0">
            <w:pPr>
              <w:jc w:val="center"/>
              <w:rPr>
                <w:rFonts w:ascii="Times New Roman" w:eastAsia="Calibri" w:hAnsi="Times New Roman" w:cs="Times New Roman"/>
                <w:b/>
                <w:bCs/>
                <w:lang w:val="hr-HR"/>
              </w:rPr>
            </w:pPr>
            <w:r w:rsidRPr="00E721E2">
              <w:rPr>
                <w:rFonts w:ascii="Times New Roman" w:eastAsia="Calibri" w:hAnsi="Times New Roman" w:cs="Times New Roman"/>
                <w:b/>
                <w:bCs/>
                <w:lang w:val="hr-HR"/>
              </w:rPr>
              <w:t>Realizirano 01.01.-3</w:t>
            </w:r>
            <w:r>
              <w:rPr>
                <w:rFonts w:ascii="Times New Roman" w:eastAsia="Calibri" w:hAnsi="Times New Roman" w:cs="Times New Roman"/>
                <w:b/>
                <w:bCs/>
                <w:lang w:val="hr-HR"/>
              </w:rPr>
              <w:t>1</w:t>
            </w:r>
            <w:r w:rsidRPr="00E721E2">
              <w:rPr>
                <w:rFonts w:ascii="Times New Roman" w:eastAsia="Calibri" w:hAnsi="Times New Roman" w:cs="Times New Roman"/>
                <w:b/>
                <w:bCs/>
                <w:lang w:val="hr-HR"/>
              </w:rPr>
              <w:t>.</w:t>
            </w:r>
            <w:r>
              <w:rPr>
                <w:rFonts w:ascii="Times New Roman" w:eastAsia="Calibri" w:hAnsi="Times New Roman" w:cs="Times New Roman"/>
                <w:b/>
                <w:bCs/>
                <w:lang w:val="hr-HR"/>
              </w:rPr>
              <w:t>12</w:t>
            </w:r>
            <w:r w:rsidRPr="00E721E2">
              <w:rPr>
                <w:rFonts w:ascii="Times New Roman" w:eastAsia="Calibri" w:hAnsi="Times New Roman" w:cs="Times New Roman"/>
                <w:b/>
                <w:bCs/>
                <w:lang w:val="hr-HR"/>
              </w:rPr>
              <w:t>. 2024.</w:t>
            </w:r>
          </w:p>
        </w:tc>
      </w:tr>
      <w:tr w:rsidR="004B6F89" w:rsidRPr="00E721E2" w14:paraId="49251F72" w14:textId="77777777" w:rsidTr="003A36F0">
        <w:tc>
          <w:tcPr>
            <w:tcW w:w="2972" w:type="dxa"/>
            <w:tcBorders>
              <w:top w:val="single" w:sz="4" w:space="0" w:color="auto"/>
              <w:left w:val="single" w:sz="4" w:space="0" w:color="auto"/>
              <w:bottom w:val="single" w:sz="4" w:space="0" w:color="auto"/>
              <w:right w:val="single" w:sz="4" w:space="0" w:color="auto"/>
            </w:tcBorders>
            <w:vAlign w:val="center"/>
          </w:tcPr>
          <w:p w14:paraId="4D45C32A" w14:textId="4D8AEC49" w:rsidR="004B6F89" w:rsidRPr="00E721E2" w:rsidRDefault="004B6F89" w:rsidP="004B6F89">
            <w:pPr>
              <w:rPr>
                <w:rFonts w:ascii="Times New Roman" w:hAnsi="Times New Roman" w:cs="Times New Roman"/>
              </w:rPr>
            </w:pPr>
            <w:r w:rsidRPr="00E721E2">
              <w:rPr>
                <w:rFonts w:ascii="Times New Roman" w:hAnsi="Times New Roman" w:cs="Times New Roman"/>
                <w:lang w:val="hr-HR"/>
              </w:rPr>
              <w:t>Nabavljene nove licence</w:t>
            </w:r>
          </w:p>
        </w:tc>
        <w:tc>
          <w:tcPr>
            <w:tcW w:w="1134" w:type="dxa"/>
            <w:tcBorders>
              <w:top w:val="single" w:sz="4" w:space="0" w:color="auto"/>
              <w:left w:val="single" w:sz="4" w:space="0" w:color="auto"/>
              <w:bottom w:val="single" w:sz="4" w:space="0" w:color="auto"/>
              <w:right w:val="single" w:sz="4" w:space="0" w:color="auto"/>
            </w:tcBorders>
            <w:vAlign w:val="center"/>
          </w:tcPr>
          <w:p w14:paraId="085D0C0F" w14:textId="07E9A2AC" w:rsidR="004B6F89" w:rsidRPr="00E721E2" w:rsidRDefault="00C732CE" w:rsidP="004B6F89">
            <w:pPr>
              <w:jc w:val="center"/>
              <w:rPr>
                <w:rFonts w:ascii="Times New Roman" w:hAnsi="Times New Roman" w:cs="Times New Roman"/>
              </w:rPr>
            </w:pPr>
            <w:r w:rsidRPr="00E721E2">
              <w:rPr>
                <w:rFonts w:ascii="Times New Roman" w:hAnsi="Times New Roman" w:cs="Times New Roman"/>
                <w:lang w:val="hr-HR"/>
              </w:rPr>
              <w:t>K</w:t>
            </w:r>
            <w:r w:rsidR="004B6F89" w:rsidRPr="00E721E2">
              <w:rPr>
                <w:rFonts w:ascii="Times New Roman" w:hAnsi="Times New Roman" w:cs="Times New Roman"/>
                <w:lang w:val="hr-HR"/>
              </w:rPr>
              <w:t>omad</w:t>
            </w:r>
          </w:p>
        </w:tc>
        <w:tc>
          <w:tcPr>
            <w:tcW w:w="1418" w:type="dxa"/>
            <w:tcBorders>
              <w:top w:val="single" w:sz="4" w:space="0" w:color="auto"/>
              <w:left w:val="single" w:sz="4" w:space="0" w:color="auto"/>
              <w:bottom w:val="single" w:sz="4" w:space="0" w:color="auto"/>
              <w:right w:val="single" w:sz="4" w:space="0" w:color="auto"/>
            </w:tcBorders>
            <w:vAlign w:val="center"/>
          </w:tcPr>
          <w:p w14:paraId="74A46134" w14:textId="02381B85" w:rsidR="004B6F89" w:rsidRPr="00E721E2" w:rsidRDefault="004B6F89" w:rsidP="004B6F89">
            <w:pPr>
              <w:jc w:val="center"/>
              <w:rPr>
                <w:rFonts w:ascii="Times New Roman" w:hAnsi="Times New Roman" w:cs="Times New Roman"/>
              </w:rPr>
            </w:pPr>
            <w:r w:rsidRPr="00E721E2">
              <w:rPr>
                <w:rFonts w:ascii="Times New Roman" w:hAnsi="Times New Roman" w:cs="Times New Roman"/>
                <w:lang w:val="hr-HR"/>
              </w:rPr>
              <w:t>1</w:t>
            </w:r>
          </w:p>
        </w:tc>
        <w:tc>
          <w:tcPr>
            <w:tcW w:w="1696" w:type="dxa"/>
            <w:tcBorders>
              <w:top w:val="single" w:sz="4" w:space="0" w:color="auto"/>
              <w:left w:val="single" w:sz="4" w:space="0" w:color="auto"/>
              <w:bottom w:val="single" w:sz="4" w:space="0" w:color="auto"/>
              <w:right w:val="single" w:sz="4" w:space="0" w:color="auto"/>
            </w:tcBorders>
            <w:vAlign w:val="center"/>
          </w:tcPr>
          <w:p w14:paraId="61320C36" w14:textId="3D8465A1" w:rsidR="004B6F89" w:rsidRPr="00E721E2" w:rsidRDefault="004B6F89" w:rsidP="004B6F89">
            <w:pPr>
              <w:jc w:val="center"/>
              <w:rPr>
                <w:rFonts w:ascii="Times New Roman" w:hAnsi="Times New Roman" w:cs="Times New Roman"/>
              </w:rPr>
            </w:pPr>
            <w:r w:rsidRPr="00E721E2">
              <w:rPr>
                <w:rFonts w:ascii="Times New Roman" w:hAnsi="Times New Roman" w:cs="Times New Roman"/>
                <w:lang w:val="hr-HR"/>
              </w:rPr>
              <w:t>1</w:t>
            </w:r>
          </w:p>
        </w:tc>
        <w:tc>
          <w:tcPr>
            <w:tcW w:w="1796" w:type="dxa"/>
            <w:tcBorders>
              <w:top w:val="single" w:sz="4" w:space="0" w:color="auto"/>
              <w:left w:val="single" w:sz="4" w:space="0" w:color="auto"/>
              <w:bottom w:val="single" w:sz="4" w:space="0" w:color="auto"/>
              <w:right w:val="single" w:sz="4" w:space="0" w:color="auto"/>
            </w:tcBorders>
            <w:vAlign w:val="center"/>
          </w:tcPr>
          <w:p w14:paraId="580B6B6D" w14:textId="153AD1A7" w:rsidR="004B6F89" w:rsidRPr="00E721E2" w:rsidRDefault="004B6F89" w:rsidP="004B6F89">
            <w:pPr>
              <w:jc w:val="center"/>
              <w:rPr>
                <w:rFonts w:ascii="Times New Roman" w:hAnsi="Times New Roman" w:cs="Times New Roman"/>
              </w:rPr>
            </w:pPr>
            <w:r>
              <w:rPr>
                <w:rFonts w:ascii="Times New Roman" w:hAnsi="Times New Roman" w:cs="Times New Roman"/>
                <w:lang w:val="hr-HR"/>
              </w:rPr>
              <w:t>1</w:t>
            </w:r>
          </w:p>
        </w:tc>
      </w:tr>
      <w:tr w:rsidR="004B6F89" w:rsidRPr="00E721E2" w14:paraId="54EC771A" w14:textId="77777777" w:rsidTr="003A36F0">
        <w:tc>
          <w:tcPr>
            <w:tcW w:w="2972" w:type="dxa"/>
            <w:tcBorders>
              <w:top w:val="single" w:sz="4" w:space="0" w:color="auto"/>
              <w:left w:val="single" w:sz="4" w:space="0" w:color="auto"/>
              <w:bottom w:val="single" w:sz="4" w:space="0" w:color="auto"/>
              <w:right w:val="single" w:sz="4" w:space="0" w:color="auto"/>
            </w:tcBorders>
            <w:vAlign w:val="center"/>
            <w:hideMark/>
          </w:tcPr>
          <w:p w14:paraId="112ACC21" w14:textId="77777777" w:rsidR="004B6F89" w:rsidRPr="00E721E2" w:rsidRDefault="004B6F89" w:rsidP="003A36F0">
            <w:pPr>
              <w:rPr>
                <w:rFonts w:ascii="Times New Roman" w:hAnsi="Times New Roman" w:cs="Times New Roman"/>
                <w:lang w:val="hr-HR"/>
              </w:rPr>
            </w:pPr>
            <w:r w:rsidRPr="00E721E2">
              <w:rPr>
                <w:rFonts w:ascii="Times New Roman" w:hAnsi="Times New Roman" w:cs="Times New Roman"/>
                <w:lang w:val="hr-HR"/>
              </w:rPr>
              <w:t>Nabavljena uredska oprema i namještaj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E5BFE4" w14:textId="40BE43EF" w:rsidR="004B6F89" w:rsidRPr="00E721E2" w:rsidRDefault="00C732CE" w:rsidP="003A36F0">
            <w:pPr>
              <w:jc w:val="center"/>
              <w:rPr>
                <w:rFonts w:ascii="Times New Roman" w:hAnsi="Times New Roman" w:cs="Times New Roman"/>
                <w:lang w:val="hr-HR"/>
              </w:rPr>
            </w:pPr>
            <w:r w:rsidRPr="00E721E2">
              <w:rPr>
                <w:rFonts w:ascii="Times New Roman" w:hAnsi="Times New Roman" w:cs="Times New Roman"/>
                <w:lang w:val="hr-HR"/>
              </w:rPr>
              <w:t>K</w:t>
            </w:r>
            <w:r w:rsidR="004B6F89" w:rsidRPr="00E721E2">
              <w:rPr>
                <w:rFonts w:ascii="Times New Roman" w:hAnsi="Times New Roman" w:cs="Times New Roman"/>
                <w:lang w:val="hr-HR"/>
              </w:rPr>
              <w:t>omad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FF669E" w14:textId="77777777" w:rsidR="004B6F89" w:rsidRPr="00E721E2" w:rsidRDefault="004B6F89" w:rsidP="003A36F0">
            <w:pPr>
              <w:jc w:val="center"/>
              <w:rPr>
                <w:rFonts w:ascii="Times New Roman" w:hAnsi="Times New Roman" w:cs="Times New Roman"/>
                <w:lang w:val="hr-HR"/>
              </w:rPr>
            </w:pPr>
            <w:r w:rsidRPr="00E721E2">
              <w:rPr>
                <w:rFonts w:ascii="Times New Roman" w:hAnsi="Times New Roman" w:cs="Times New Roman"/>
                <w:lang w:val="hr-HR"/>
              </w:rPr>
              <w:t>1</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2109E9B" w14:textId="77777777" w:rsidR="004B6F89" w:rsidRPr="00E721E2" w:rsidRDefault="004B6F89" w:rsidP="003A36F0">
            <w:pPr>
              <w:jc w:val="center"/>
              <w:rPr>
                <w:rFonts w:ascii="Times New Roman" w:hAnsi="Times New Roman" w:cs="Times New Roman"/>
                <w:lang w:val="hr-HR"/>
              </w:rPr>
            </w:pPr>
            <w:r w:rsidRPr="00E721E2">
              <w:rPr>
                <w:rFonts w:ascii="Times New Roman" w:hAnsi="Times New Roman" w:cs="Times New Roman"/>
                <w:lang w:val="hr-HR"/>
              </w:rPr>
              <w:t>1</w:t>
            </w:r>
          </w:p>
        </w:tc>
        <w:tc>
          <w:tcPr>
            <w:tcW w:w="1796" w:type="dxa"/>
            <w:tcBorders>
              <w:top w:val="single" w:sz="4" w:space="0" w:color="auto"/>
              <w:left w:val="single" w:sz="4" w:space="0" w:color="auto"/>
              <w:bottom w:val="single" w:sz="4" w:space="0" w:color="auto"/>
              <w:right w:val="single" w:sz="4" w:space="0" w:color="auto"/>
            </w:tcBorders>
            <w:vAlign w:val="center"/>
            <w:hideMark/>
          </w:tcPr>
          <w:p w14:paraId="12A166AB" w14:textId="77777777" w:rsidR="004B6F89" w:rsidRPr="00E721E2" w:rsidRDefault="004B6F89" w:rsidP="003A36F0">
            <w:pPr>
              <w:jc w:val="center"/>
              <w:rPr>
                <w:rFonts w:ascii="Times New Roman" w:hAnsi="Times New Roman" w:cs="Times New Roman"/>
                <w:lang w:val="hr-HR"/>
              </w:rPr>
            </w:pPr>
            <w:r w:rsidRPr="00E721E2">
              <w:rPr>
                <w:rFonts w:ascii="Times New Roman" w:hAnsi="Times New Roman" w:cs="Times New Roman"/>
                <w:lang w:val="hr-HR"/>
              </w:rPr>
              <w:t>0</w:t>
            </w:r>
          </w:p>
        </w:tc>
      </w:tr>
    </w:tbl>
    <w:p w14:paraId="2917FD22" w14:textId="6F9612F3" w:rsidR="004B6F89" w:rsidRDefault="004B6F89" w:rsidP="004B6F89">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Tijekom 2024. godine nabavljena je jedna licenca Adobe R</w:t>
      </w:r>
      <w:r w:rsidR="005E25FC">
        <w:rPr>
          <w:rFonts w:ascii="Times New Roman" w:eastAsia="Calibri" w:hAnsi="Times New Roman" w:cs="Times New Roman"/>
          <w:sz w:val="24"/>
          <w:szCs w:val="24"/>
          <w:lang w:eastAsia="ar-SA"/>
        </w:rPr>
        <w:t>ea</w:t>
      </w:r>
      <w:r>
        <w:rPr>
          <w:rFonts w:ascii="Times New Roman" w:eastAsia="Calibri" w:hAnsi="Times New Roman" w:cs="Times New Roman"/>
          <w:sz w:val="24"/>
          <w:szCs w:val="24"/>
          <w:lang w:eastAsia="ar-SA"/>
        </w:rPr>
        <w:t>der za potrebe poslovanja Razvojne agencije PORE KKŽ.</w:t>
      </w:r>
    </w:p>
    <w:p w14:paraId="64F17BE1" w14:textId="77777777" w:rsidR="00BE0BFE" w:rsidRDefault="00BE0BFE" w:rsidP="00A5097F">
      <w:pPr>
        <w:suppressAutoHyphens/>
        <w:spacing w:after="0" w:line="240" w:lineRule="auto"/>
        <w:jc w:val="both"/>
        <w:rPr>
          <w:rFonts w:ascii="Times New Roman" w:eastAsia="Calibri" w:hAnsi="Times New Roman" w:cs="Times New Roman"/>
          <w:b/>
          <w:bCs/>
          <w:sz w:val="24"/>
          <w:szCs w:val="24"/>
          <w:lang w:eastAsia="ar-SA"/>
        </w:rPr>
      </w:pPr>
    </w:p>
    <w:p w14:paraId="50B385AF" w14:textId="0A18E54B" w:rsidR="0097659D" w:rsidRPr="000C5685" w:rsidRDefault="000C5685" w:rsidP="000C5685">
      <w:pPr>
        <w:spacing w:after="0" w:line="240" w:lineRule="auto"/>
        <w:ind w:firstLine="709"/>
        <w:rPr>
          <w:rFonts w:ascii="Times New Roman" w:eastAsia="Calibri" w:hAnsi="Times New Roman" w:cs="Times New Roman"/>
          <w:b/>
          <w:bCs/>
          <w:sz w:val="24"/>
          <w:szCs w:val="24"/>
          <w:lang w:eastAsia="ar-SA"/>
        </w:rPr>
      </w:pPr>
      <w:r w:rsidRPr="000C5685">
        <w:rPr>
          <w:rFonts w:ascii="Times New Roman" w:eastAsia="Calibri" w:hAnsi="Times New Roman" w:cs="Times New Roman"/>
          <w:b/>
          <w:bCs/>
          <w:sz w:val="24"/>
          <w:szCs w:val="24"/>
          <w:lang w:eastAsia="ar-SA"/>
        </w:rPr>
        <w:t xml:space="preserve">3.3. </w:t>
      </w:r>
      <w:r w:rsidR="0097659D" w:rsidRPr="000C5685">
        <w:rPr>
          <w:rFonts w:ascii="Times New Roman" w:eastAsia="Calibri" w:hAnsi="Times New Roman" w:cs="Times New Roman"/>
          <w:b/>
          <w:bCs/>
          <w:sz w:val="24"/>
          <w:szCs w:val="24"/>
          <w:lang w:eastAsia="ar-SA"/>
        </w:rPr>
        <w:t>ZAKLJUČAK</w:t>
      </w:r>
    </w:p>
    <w:p w14:paraId="6561F265" w14:textId="77777777" w:rsidR="0097659D" w:rsidRDefault="0097659D" w:rsidP="009C2188">
      <w:pPr>
        <w:spacing w:after="0" w:line="240" w:lineRule="auto"/>
        <w:jc w:val="center"/>
        <w:rPr>
          <w:rFonts w:ascii="Times New Roman" w:eastAsia="Calibri" w:hAnsi="Times New Roman" w:cs="Times New Roman"/>
          <w:sz w:val="24"/>
          <w:szCs w:val="24"/>
          <w:lang w:eastAsia="ar-SA"/>
        </w:rPr>
      </w:pPr>
    </w:p>
    <w:p w14:paraId="367FF006" w14:textId="63129F22" w:rsidR="00A44927" w:rsidRPr="002D356C" w:rsidRDefault="001D6354" w:rsidP="001D6354">
      <w:pPr>
        <w:spacing w:after="0" w:line="240" w:lineRule="auto"/>
        <w:jc w:val="both"/>
        <w:rPr>
          <w:rFonts w:ascii="Times New Roman" w:hAnsi="Times New Roman" w:cs="Times New Roman"/>
          <w:color w:val="C00000"/>
          <w:sz w:val="24"/>
          <w:szCs w:val="24"/>
        </w:rPr>
      </w:pPr>
      <w:r w:rsidRPr="007A0463">
        <w:rPr>
          <w:rFonts w:ascii="Times New Roman" w:hAnsi="Times New Roman" w:cs="Times New Roman"/>
          <w:sz w:val="24"/>
          <w:szCs w:val="24"/>
        </w:rPr>
        <w:t>Tijekom 202</w:t>
      </w:r>
      <w:r w:rsidR="00C732CE" w:rsidRPr="007A0463">
        <w:rPr>
          <w:rFonts w:ascii="Times New Roman" w:hAnsi="Times New Roman" w:cs="Times New Roman"/>
          <w:sz w:val="24"/>
          <w:szCs w:val="24"/>
        </w:rPr>
        <w:t>4</w:t>
      </w:r>
      <w:r w:rsidRPr="007A0463">
        <w:rPr>
          <w:rFonts w:ascii="Times New Roman" w:hAnsi="Times New Roman" w:cs="Times New Roman"/>
          <w:sz w:val="24"/>
          <w:szCs w:val="24"/>
        </w:rPr>
        <w:t>. godine u okviru područja rada koje se odnosi na strateško planiranje i regionalni razvoj Razvojna agencija PORA KKŽ je kao regionalni koordinator koordinirala pripremu i pripremila Izvješće o provedbi Plana razvoja KKŽ za razdoblje 2021. do 2027. godine za 202</w:t>
      </w:r>
      <w:r w:rsidR="007A0463" w:rsidRPr="007A0463">
        <w:rPr>
          <w:rFonts w:ascii="Times New Roman" w:hAnsi="Times New Roman" w:cs="Times New Roman"/>
          <w:sz w:val="24"/>
          <w:szCs w:val="24"/>
        </w:rPr>
        <w:t>4</w:t>
      </w:r>
      <w:r w:rsidRPr="007A0463">
        <w:rPr>
          <w:rFonts w:ascii="Times New Roman" w:hAnsi="Times New Roman" w:cs="Times New Roman"/>
          <w:sz w:val="24"/>
          <w:szCs w:val="24"/>
        </w:rPr>
        <w:t xml:space="preserve">. godinu. Izradila je </w:t>
      </w:r>
      <w:r w:rsidR="005E4FC1">
        <w:rPr>
          <w:rFonts w:ascii="Times New Roman" w:hAnsi="Times New Roman" w:cs="Times New Roman"/>
          <w:sz w:val="24"/>
          <w:szCs w:val="24"/>
        </w:rPr>
        <w:t xml:space="preserve">i </w:t>
      </w:r>
      <w:r w:rsidRPr="007A0463">
        <w:rPr>
          <w:rFonts w:ascii="Times New Roman" w:hAnsi="Times New Roman" w:cs="Times New Roman"/>
          <w:sz w:val="24"/>
          <w:szCs w:val="24"/>
        </w:rPr>
        <w:t>Godišnje izvješće o provedbi provedbenog programa Koprivničko-križevačke županije za razdoblje 2021. do 2025. godine za 202</w:t>
      </w:r>
      <w:r w:rsidR="007A0463" w:rsidRPr="007A0463">
        <w:rPr>
          <w:rFonts w:ascii="Times New Roman" w:hAnsi="Times New Roman" w:cs="Times New Roman"/>
          <w:sz w:val="24"/>
          <w:szCs w:val="24"/>
        </w:rPr>
        <w:t>4</w:t>
      </w:r>
      <w:r w:rsidRPr="007A0463">
        <w:rPr>
          <w:rFonts w:ascii="Times New Roman" w:hAnsi="Times New Roman" w:cs="Times New Roman"/>
          <w:sz w:val="24"/>
          <w:szCs w:val="24"/>
        </w:rPr>
        <w:t>. godinu</w:t>
      </w:r>
      <w:r w:rsidRPr="00AA44AA">
        <w:rPr>
          <w:rFonts w:ascii="Times New Roman" w:hAnsi="Times New Roman" w:cs="Times New Roman"/>
          <w:sz w:val="24"/>
          <w:szCs w:val="24"/>
        </w:rPr>
        <w:t xml:space="preserve">. </w:t>
      </w:r>
    </w:p>
    <w:p w14:paraId="182493B8" w14:textId="06DDFD5A" w:rsidR="00A44927" w:rsidRPr="00AA44AA" w:rsidRDefault="001D6354" w:rsidP="001D6354">
      <w:pPr>
        <w:spacing w:after="0" w:line="240" w:lineRule="auto"/>
        <w:jc w:val="both"/>
        <w:rPr>
          <w:rFonts w:ascii="Times New Roman" w:hAnsi="Times New Roman" w:cs="Times New Roman"/>
          <w:sz w:val="24"/>
          <w:szCs w:val="24"/>
        </w:rPr>
      </w:pPr>
      <w:r w:rsidRPr="00AA44AA">
        <w:rPr>
          <w:rFonts w:ascii="Times New Roman" w:hAnsi="Times New Roman" w:cs="Times New Roman"/>
          <w:sz w:val="24"/>
          <w:szCs w:val="24"/>
        </w:rPr>
        <w:lastRenderedPageBreak/>
        <w:t xml:space="preserve">Aktivno je uključena u proces izvještavanja o realizaciji Razvojnog sporazuma za sjever Hrvatske za KKŽ te je prema MRRFEU podnijela </w:t>
      </w:r>
      <w:r w:rsidR="00AA44AA" w:rsidRPr="00AA44AA">
        <w:rPr>
          <w:rFonts w:ascii="Times New Roman" w:hAnsi="Times New Roman" w:cs="Times New Roman"/>
          <w:sz w:val="24"/>
          <w:szCs w:val="24"/>
        </w:rPr>
        <w:t>5</w:t>
      </w:r>
      <w:r w:rsidRPr="00AA44AA">
        <w:rPr>
          <w:rFonts w:ascii="Times New Roman" w:hAnsi="Times New Roman" w:cs="Times New Roman"/>
          <w:sz w:val="24"/>
          <w:szCs w:val="24"/>
        </w:rPr>
        <w:t xml:space="preserve"> tromjesečn</w:t>
      </w:r>
      <w:r w:rsidR="005E4FC1">
        <w:rPr>
          <w:rFonts w:ascii="Times New Roman" w:hAnsi="Times New Roman" w:cs="Times New Roman"/>
          <w:sz w:val="24"/>
          <w:szCs w:val="24"/>
        </w:rPr>
        <w:t>ih</w:t>
      </w:r>
      <w:r w:rsidRPr="00AA44AA">
        <w:rPr>
          <w:rFonts w:ascii="Times New Roman" w:hAnsi="Times New Roman" w:cs="Times New Roman"/>
          <w:sz w:val="24"/>
          <w:szCs w:val="24"/>
        </w:rPr>
        <w:t xml:space="preserve"> izvješća o njegovoj provedbi. </w:t>
      </w:r>
    </w:p>
    <w:p w14:paraId="17905B1E" w14:textId="77777777" w:rsidR="00A44927" w:rsidRPr="00AA44AA" w:rsidRDefault="00A44927" w:rsidP="001D6354">
      <w:pPr>
        <w:spacing w:after="0" w:line="240" w:lineRule="auto"/>
        <w:jc w:val="both"/>
        <w:rPr>
          <w:rFonts w:ascii="Times New Roman" w:hAnsi="Times New Roman" w:cs="Times New Roman"/>
          <w:sz w:val="24"/>
          <w:szCs w:val="24"/>
        </w:rPr>
      </w:pPr>
    </w:p>
    <w:p w14:paraId="1A9C2C6D" w14:textId="6B8A1EEF" w:rsidR="001D6354" w:rsidRPr="00AA44AA" w:rsidRDefault="001D6354" w:rsidP="001D6354">
      <w:pPr>
        <w:spacing w:after="0" w:line="240" w:lineRule="auto"/>
        <w:jc w:val="both"/>
        <w:rPr>
          <w:rFonts w:ascii="Times New Roman" w:hAnsi="Times New Roman" w:cs="Times New Roman"/>
          <w:sz w:val="24"/>
          <w:szCs w:val="24"/>
        </w:rPr>
      </w:pPr>
      <w:r w:rsidRPr="00AA44AA">
        <w:rPr>
          <w:rFonts w:ascii="Times New Roman" w:hAnsi="Times New Roman" w:cs="Times New Roman"/>
          <w:sz w:val="24"/>
          <w:szCs w:val="24"/>
        </w:rPr>
        <w:t>Kao regionalni koordinator</w:t>
      </w:r>
      <w:r w:rsidR="00A44927" w:rsidRPr="00AA44AA">
        <w:rPr>
          <w:rFonts w:ascii="Times New Roman" w:hAnsi="Times New Roman" w:cs="Times New Roman"/>
          <w:sz w:val="24"/>
          <w:szCs w:val="24"/>
        </w:rPr>
        <w:t xml:space="preserve"> bila je </w:t>
      </w:r>
      <w:r w:rsidRPr="00AA44AA">
        <w:rPr>
          <w:rFonts w:ascii="Times New Roman" w:hAnsi="Times New Roman" w:cs="Times New Roman"/>
          <w:sz w:val="24"/>
          <w:szCs w:val="24"/>
        </w:rPr>
        <w:t>član Partnerskog vijeća za izradu Strategije manjeg urbanog područja Koprivnica za financijsko razdoblje 2021.-2027. godine</w:t>
      </w:r>
      <w:r w:rsidR="00A44927" w:rsidRPr="00AA44AA">
        <w:rPr>
          <w:rFonts w:ascii="Times New Roman" w:hAnsi="Times New Roman" w:cs="Times New Roman"/>
          <w:sz w:val="24"/>
          <w:szCs w:val="24"/>
        </w:rPr>
        <w:t>.</w:t>
      </w:r>
    </w:p>
    <w:p w14:paraId="3805987A" w14:textId="25C9E012" w:rsidR="00411703" w:rsidRPr="00AA44AA" w:rsidRDefault="000663DA" w:rsidP="001D635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Izuzetno </w:t>
      </w:r>
      <w:r w:rsidR="005B6145">
        <w:rPr>
          <w:rFonts w:ascii="Times New Roman" w:hAnsi="Times New Roman" w:cs="Times New Roman"/>
          <w:sz w:val="24"/>
          <w:szCs w:val="24"/>
        </w:rPr>
        <w:t>d</w:t>
      </w:r>
      <w:r w:rsidR="001D6354" w:rsidRPr="00AA44AA">
        <w:rPr>
          <w:rFonts w:ascii="Times New Roman" w:hAnsi="Times New Roman" w:cs="Times New Roman"/>
          <w:sz w:val="24"/>
          <w:szCs w:val="24"/>
        </w:rPr>
        <w:t>obra suradnja s JLS-ima očitovala se kroz podršku djelovanju jedinica</w:t>
      </w:r>
      <w:r w:rsidR="005B6145">
        <w:rPr>
          <w:rFonts w:ascii="Times New Roman" w:hAnsi="Times New Roman" w:cs="Times New Roman"/>
          <w:sz w:val="24"/>
          <w:szCs w:val="24"/>
        </w:rPr>
        <w:t>ma</w:t>
      </w:r>
      <w:r w:rsidR="001D6354" w:rsidRPr="00AA44AA">
        <w:rPr>
          <w:rFonts w:ascii="Times New Roman" w:hAnsi="Times New Roman" w:cs="Times New Roman"/>
          <w:sz w:val="24"/>
          <w:szCs w:val="24"/>
        </w:rPr>
        <w:t xml:space="preserve"> lokalne samouprave vezano za regionalni razvoj što uključuje informiranje i pružanje stručne pomoći u pripremi i provedbi projekata, te ažuriranje Baze projekata Plana razvoja KKŽ za razdoblje 2021.-2027.</w:t>
      </w:r>
    </w:p>
    <w:p w14:paraId="746102BF" w14:textId="0F6BDCE3" w:rsidR="001D6354" w:rsidRPr="00AA44AA" w:rsidRDefault="001D6354" w:rsidP="001D6354">
      <w:pPr>
        <w:spacing w:after="0" w:line="240" w:lineRule="auto"/>
        <w:contextualSpacing/>
        <w:jc w:val="both"/>
        <w:rPr>
          <w:rFonts w:ascii="Times New Roman" w:hAnsi="Times New Roman" w:cs="Times New Roman"/>
          <w:sz w:val="24"/>
          <w:szCs w:val="24"/>
        </w:rPr>
      </w:pPr>
      <w:r w:rsidRPr="00AA44AA">
        <w:rPr>
          <w:rFonts w:ascii="Times New Roman" w:hAnsi="Times New Roman" w:cs="Times New Roman"/>
          <w:sz w:val="24"/>
          <w:szCs w:val="24"/>
        </w:rPr>
        <w:t xml:space="preserve"> </w:t>
      </w:r>
    </w:p>
    <w:p w14:paraId="48B35F95" w14:textId="341C3ACD" w:rsidR="001D6354" w:rsidRPr="00AA44AA" w:rsidRDefault="001D6354" w:rsidP="001D6354">
      <w:pPr>
        <w:spacing w:after="0" w:line="240" w:lineRule="auto"/>
        <w:jc w:val="both"/>
        <w:rPr>
          <w:rFonts w:ascii="Times New Roman" w:hAnsi="Times New Roman" w:cs="Times New Roman"/>
          <w:sz w:val="24"/>
          <w:szCs w:val="24"/>
        </w:rPr>
      </w:pPr>
      <w:r w:rsidRPr="00AA44AA">
        <w:rPr>
          <w:rFonts w:ascii="Times New Roman" w:eastAsia="Calibri" w:hAnsi="Times New Roman" w:cs="Times New Roman"/>
          <w:bCs/>
          <w:sz w:val="24"/>
          <w:szCs w:val="24"/>
        </w:rPr>
        <w:t xml:space="preserve">Na području poticanja poduzetništva </w:t>
      </w:r>
      <w:r w:rsidRPr="00AA44AA">
        <w:rPr>
          <w:rFonts w:ascii="Times New Roman" w:hAnsi="Times New Roman" w:cs="Times New Roman"/>
          <w:sz w:val="24"/>
          <w:szCs w:val="24"/>
        </w:rPr>
        <w:t>Razvojna agencija PORA KKŽ nastavila je s aktivnostima informiranja poduzetnika te s promidžbom Plana za industrijsku tranziciju Sjeverne Hrvatske i mapiranja regionalnih dionika u regionalne lance vrijednosti Sjeverne Hrvatske. Koordinirala je prikupljanje informacija vezanih uz društvene izazove koji će predstavljati temelj za prijavu poduzetnika na natječaje u okviru Plana za industrijsku tranziciju Sjeverne Hrvatske</w:t>
      </w:r>
      <w:r w:rsidR="00093E5D" w:rsidRPr="00AA44AA">
        <w:rPr>
          <w:rFonts w:ascii="Times New Roman" w:hAnsi="Times New Roman" w:cs="Times New Roman"/>
          <w:sz w:val="24"/>
          <w:szCs w:val="24"/>
        </w:rPr>
        <w:t xml:space="preserve"> te sudjelovala na Strateškom forumu RLV Proizvodnja vozila, održanom u Zagrebu</w:t>
      </w:r>
      <w:r w:rsidRPr="00AA44AA">
        <w:rPr>
          <w:rFonts w:ascii="Times New Roman" w:hAnsi="Times New Roman" w:cs="Times New Roman"/>
          <w:sz w:val="24"/>
          <w:szCs w:val="24"/>
        </w:rPr>
        <w:t xml:space="preserve">. </w:t>
      </w:r>
      <w:r w:rsidRPr="00AA44AA">
        <w:rPr>
          <w:rFonts w:ascii="Times New Roman" w:eastAsia="Times New Roman" w:hAnsi="Times New Roman" w:cs="Times New Roman"/>
          <w:bCs/>
          <w:sz w:val="24"/>
          <w:szCs w:val="24"/>
          <w:shd w:val="clear" w:color="auto" w:fill="FFFFFF"/>
        </w:rPr>
        <w:t>U okviru</w:t>
      </w:r>
      <w:r w:rsidRPr="00AA44AA">
        <w:rPr>
          <w:rFonts w:ascii="Times New Roman" w:hAnsi="Times New Roman" w:cs="Times New Roman"/>
          <w:sz w:val="24"/>
          <w:szCs w:val="24"/>
        </w:rPr>
        <w:t xml:space="preserve"> jačanja pozitivne investicijske klime i privlačenja potencijalnih investitora u suradnji je s KKŽ i JLS-ima u kontinuitetu provodila aktivnosti s ciljem pružanja aktivne podrške ulagačima i promidžbi poslovnih zona, a uključena je i u stručnu Radnu skupinu za izradu nacrta Nacionalnog plana za poticanje ulaganja za razdoblje 2024. do 2030. godine i Akcijskog plana za provedbu Nacionalnog plana za poticanje ulaganja za razdoblje od 2024. do 2026. godine. </w:t>
      </w:r>
    </w:p>
    <w:p w14:paraId="1A579706" w14:textId="77777777" w:rsidR="003E78FC" w:rsidRPr="00AA44AA" w:rsidRDefault="003E78FC" w:rsidP="001D6354">
      <w:pPr>
        <w:spacing w:after="0" w:line="240" w:lineRule="auto"/>
        <w:jc w:val="both"/>
        <w:rPr>
          <w:rFonts w:ascii="Times New Roman" w:hAnsi="Times New Roman" w:cs="Times New Roman"/>
          <w:sz w:val="24"/>
          <w:szCs w:val="24"/>
        </w:rPr>
      </w:pPr>
    </w:p>
    <w:p w14:paraId="67CBFA62" w14:textId="77777777" w:rsidR="002D356C" w:rsidRPr="00AA44AA" w:rsidRDefault="001D6354" w:rsidP="007A0463">
      <w:pPr>
        <w:spacing w:after="0" w:line="240" w:lineRule="auto"/>
        <w:contextualSpacing/>
        <w:jc w:val="both"/>
        <w:rPr>
          <w:rFonts w:ascii="Times New Roman" w:hAnsi="Times New Roman"/>
          <w:bCs/>
          <w:sz w:val="24"/>
          <w:szCs w:val="24"/>
        </w:rPr>
      </w:pPr>
      <w:r w:rsidRPr="00AA44AA">
        <w:rPr>
          <w:rFonts w:ascii="Times New Roman" w:hAnsi="Times New Roman"/>
          <w:bCs/>
          <w:sz w:val="24"/>
          <w:szCs w:val="24"/>
        </w:rPr>
        <w:t>Kao nositelj projekta odnosno projektni partner, Razvojna agencija PORA KKŽ tijekom 202</w:t>
      </w:r>
      <w:r w:rsidR="00093E5D" w:rsidRPr="00AA44AA">
        <w:rPr>
          <w:rFonts w:ascii="Times New Roman" w:hAnsi="Times New Roman"/>
          <w:bCs/>
          <w:sz w:val="24"/>
          <w:szCs w:val="24"/>
        </w:rPr>
        <w:t>4</w:t>
      </w:r>
      <w:r w:rsidRPr="00AA44AA">
        <w:rPr>
          <w:rFonts w:ascii="Times New Roman" w:hAnsi="Times New Roman"/>
          <w:bCs/>
          <w:sz w:val="24"/>
          <w:szCs w:val="24"/>
        </w:rPr>
        <w:t xml:space="preserve">. godine pripremila je ukupno </w:t>
      </w:r>
      <w:r w:rsidR="002D356C" w:rsidRPr="00AA44AA">
        <w:rPr>
          <w:rFonts w:ascii="Times New Roman" w:hAnsi="Times New Roman"/>
          <w:bCs/>
          <w:sz w:val="24"/>
          <w:szCs w:val="24"/>
        </w:rPr>
        <w:t>6</w:t>
      </w:r>
      <w:r w:rsidRPr="00AA44AA">
        <w:rPr>
          <w:rFonts w:ascii="Times New Roman" w:hAnsi="Times New Roman"/>
          <w:bCs/>
          <w:sz w:val="24"/>
          <w:szCs w:val="24"/>
        </w:rPr>
        <w:t xml:space="preserve"> projekata vrijednih </w:t>
      </w:r>
      <w:r w:rsidR="002D356C" w:rsidRPr="00AA44AA">
        <w:rPr>
          <w:rFonts w:ascii="Times New Roman" w:hAnsi="Times New Roman"/>
          <w:bCs/>
          <w:sz w:val="24"/>
          <w:szCs w:val="24"/>
        </w:rPr>
        <w:t>8,7</w:t>
      </w:r>
      <w:r w:rsidRPr="00AA44AA">
        <w:rPr>
          <w:rFonts w:ascii="Times New Roman" w:hAnsi="Times New Roman"/>
          <w:bCs/>
          <w:sz w:val="24"/>
          <w:szCs w:val="24"/>
        </w:rPr>
        <w:t xml:space="preserve"> milijuna eura za natječaje iz programa Interreg Europe, Interreg Central Europe te Interreg IPA ADRION</w:t>
      </w:r>
      <w:r w:rsidR="002D356C" w:rsidRPr="00AA44AA">
        <w:rPr>
          <w:rFonts w:ascii="Times New Roman" w:hAnsi="Times New Roman"/>
          <w:bCs/>
          <w:sz w:val="24"/>
          <w:szCs w:val="24"/>
        </w:rPr>
        <w:t>.</w:t>
      </w:r>
    </w:p>
    <w:p w14:paraId="120A6C09" w14:textId="489A15DC" w:rsidR="002D356C" w:rsidRDefault="002D356C" w:rsidP="007A0463">
      <w:pPr>
        <w:spacing w:after="0" w:line="240" w:lineRule="auto"/>
        <w:contextualSpacing/>
        <w:jc w:val="both"/>
        <w:rPr>
          <w:rFonts w:ascii="Times New Roman" w:hAnsi="Times New Roman"/>
          <w:bCs/>
          <w:sz w:val="24"/>
          <w:szCs w:val="24"/>
        </w:rPr>
      </w:pPr>
      <w:r w:rsidRPr="00AA44AA">
        <w:rPr>
          <w:rFonts w:ascii="Times New Roman" w:hAnsi="Times New Roman"/>
          <w:bCs/>
          <w:sz w:val="24"/>
          <w:szCs w:val="24"/>
        </w:rPr>
        <w:t>U</w:t>
      </w:r>
      <w:r w:rsidR="001D6354" w:rsidRPr="00AA44AA">
        <w:rPr>
          <w:rFonts w:ascii="Times New Roman" w:hAnsi="Times New Roman"/>
          <w:bCs/>
          <w:sz w:val="24"/>
          <w:szCs w:val="24"/>
        </w:rPr>
        <w:t xml:space="preserve"> prov</w:t>
      </w:r>
      <w:r w:rsidR="001D6354" w:rsidRPr="002D356C">
        <w:rPr>
          <w:rFonts w:ascii="Times New Roman" w:hAnsi="Times New Roman"/>
          <w:bCs/>
          <w:sz w:val="24"/>
          <w:szCs w:val="24"/>
        </w:rPr>
        <w:t>edbi</w:t>
      </w:r>
      <w:r w:rsidRPr="002D356C">
        <w:rPr>
          <w:rFonts w:ascii="Times New Roman" w:hAnsi="Times New Roman"/>
          <w:bCs/>
          <w:sz w:val="24"/>
          <w:szCs w:val="24"/>
        </w:rPr>
        <w:t xml:space="preserve"> </w:t>
      </w:r>
      <w:r w:rsidR="00BA0718">
        <w:rPr>
          <w:rFonts w:ascii="Times New Roman" w:hAnsi="Times New Roman"/>
          <w:bCs/>
          <w:sz w:val="24"/>
          <w:szCs w:val="24"/>
        </w:rPr>
        <w:t>su</w:t>
      </w:r>
      <w:r w:rsidR="001D6354" w:rsidRPr="002D356C">
        <w:rPr>
          <w:rFonts w:ascii="Times New Roman" w:hAnsi="Times New Roman"/>
          <w:bCs/>
          <w:sz w:val="24"/>
          <w:szCs w:val="24"/>
        </w:rPr>
        <w:t xml:space="preserve"> tijekom 202</w:t>
      </w:r>
      <w:r w:rsidRPr="002D356C">
        <w:rPr>
          <w:rFonts w:ascii="Times New Roman" w:hAnsi="Times New Roman"/>
          <w:bCs/>
          <w:sz w:val="24"/>
          <w:szCs w:val="24"/>
        </w:rPr>
        <w:t>4</w:t>
      </w:r>
      <w:r w:rsidR="001D6354" w:rsidRPr="002D356C">
        <w:rPr>
          <w:rFonts w:ascii="Times New Roman" w:hAnsi="Times New Roman"/>
          <w:bCs/>
          <w:sz w:val="24"/>
          <w:szCs w:val="24"/>
        </w:rPr>
        <w:t>. godine bil</w:t>
      </w:r>
      <w:r w:rsidR="00BA0718">
        <w:rPr>
          <w:rFonts w:ascii="Times New Roman" w:hAnsi="Times New Roman"/>
          <w:bCs/>
          <w:sz w:val="24"/>
          <w:szCs w:val="24"/>
        </w:rPr>
        <w:t>a</w:t>
      </w:r>
      <w:r w:rsidR="001D6354" w:rsidRPr="002D356C">
        <w:rPr>
          <w:rFonts w:ascii="Times New Roman" w:hAnsi="Times New Roman"/>
          <w:bCs/>
          <w:sz w:val="24"/>
          <w:szCs w:val="24"/>
        </w:rPr>
        <w:t xml:space="preserve"> </w:t>
      </w:r>
      <w:r w:rsidRPr="002D356C">
        <w:rPr>
          <w:rFonts w:ascii="Times New Roman" w:hAnsi="Times New Roman"/>
          <w:bCs/>
          <w:sz w:val="24"/>
          <w:szCs w:val="24"/>
        </w:rPr>
        <w:t>4</w:t>
      </w:r>
      <w:r w:rsidR="001D6354" w:rsidRPr="002D356C">
        <w:rPr>
          <w:rFonts w:ascii="Times New Roman" w:hAnsi="Times New Roman"/>
          <w:bCs/>
          <w:sz w:val="24"/>
          <w:szCs w:val="24"/>
        </w:rPr>
        <w:t xml:space="preserve"> projekta ukupne vrijednosti gotovo </w:t>
      </w:r>
      <w:r w:rsidRPr="002D356C">
        <w:rPr>
          <w:rFonts w:ascii="Times New Roman" w:hAnsi="Times New Roman"/>
          <w:bCs/>
          <w:sz w:val="24"/>
          <w:szCs w:val="24"/>
        </w:rPr>
        <w:t>3,5</w:t>
      </w:r>
      <w:r w:rsidR="001D6354" w:rsidRPr="002D356C">
        <w:rPr>
          <w:rFonts w:ascii="Times New Roman" w:hAnsi="Times New Roman"/>
          <w:bCs/>
          <w:sz w:val="24"/>
          <w:szCs w:val="24"/>
        </w:rPr>
        <w:t xml:space="preserve"> milijuna eura</w:t>
      </w:r>
      <w:r w:rsidR="00225EFF">
        <w:rPr>
          <w:rFonts w:ascii="Times New Roman" w:hAnsi="Times New Roman"/>
          <w:bCs/>
          <w:sz w:val="24"/>
          <w:szCs w:val="24"/>
        </w:rPr>
        <w:t>.</w:t>
      </w:r>
    </w:p>
    <w:p w14:paraId="5B25E587" w14:textId="616F4100" w:rsidR="00093E5D" w:rsidRPr="00093E5D" w:rsidRDefault="002D356C" w:rsidP="007A0463">
      <w:pPr>
        <w:spacing w:after="0" w:line="240" w:lineRule="auto"/>
        <w:contextualSpacing/>
        <w:jc w:val="both"/>
        <w:rPr>
          <w:rFonts w:ascii="Times New Roman" w:eastAsia="Times New Roman" w:hAnsi="Times New Roman" w:cs="Times New Roman"/>
          <w:b/>
          <w:sz w:val="24"/>
          <w:szCs w:val="24"/>
          <w:shd w:val="clear" w:color="auto" w:fill="FFFFFF"/>
        </w:rPr>
      </w:pPr>
      <w:r w:rsidRPr="002D356C">
        <w:rPr>
          <w:rFonts w:ascii="Times New Roman" w:hAnsi="Times New Roman"/>
          <w:bCs/>
          <w:sz w:val="24"/>
          <w:szCs w:val="24"/>
        </w:rPr>
        <w:t xml:space="preserve">Ujedno ističemo </w:t>
      </w:r>
      <w:r w:rsidR="005B6145">
        <w:rPr>
          <w:rFonts w:ascii="Times New Roman" w:hAnsi="Times New Roman"/>
          <w:bCs/>
          <w:sz w:val="24"/>
          <w:szCs w:val="24"/>
        </w:rPr>
        <w:t xml:space="preserve">provedbu </w:t>
      </w:r>
      <w:r w:rsidRPr="002D356C">
        <w:rPr>
          <w:rFonts w:ascii="Times New Roman" w:hAnsi="Times New Roman"/>
          <w:bCs/>
          <w:sz w:val="24"/>
          <w:szCs w:val="24"/>
        </w:rPr>
        <w:t>Sporazum</w:t>
      </w:r>
      <w:r w:rsidR="005B6145">
        <w:rPr>
          <w:rFonts w:ascii="Times New Roman" w:hAnsi="Times New Roman"/>
          <w:bCs/>
          <w:sz w:val="24"/>
          <w:szCs w:val="24"/>
        </w:rPr>
        <w:t>a</w:t>
      </w:r>
      <w:r w:rsidRPr="002D356C">
        <w:rPr>
          <w:rFonts w:ascii="Times New Roman" w:hAnsi="Times New Roman"/>
          <w:bCs/>
          <w:sz w:val="24"/>
          <w:szCs w:val="24"/>
        </w:rPr>
        <w:t xml:space="preserve"> </w:t>
      </w:r>
      <w:r w:rsidRPr="002D356C">
        <w:rPr>
          <w:rFonts w:ascii="Times New Roman" w:hAnsi="Times New Roman" w:cs="Times New Roman"/>
          <w:sz w:val="24"/>
          <w:szCs w:val="24"/>
          <w:shd w:val="clear" w:color="auto" w:fill="FFFFFF"/>
        </w:rPr>
        <w:t>o dodjeli bespovratnih sredstava u provedbi jačanja kapaciteta na regionalnoj i lokalnoj razini za korištenje sredstava EU fondova Ministarstva regionalnoga razvoja i fondova EU</w:t>
      </w:r>
      <w:r w:rsidRPr="002D356C">
        <w:rPr>
          <w:rFonts w:ascii="Times New Roman" w:hAnsi="Times New Roman"/>
          <w:bCs/>
          <w:sz w:val="24"/>
          <w:szCs w:val="24"/>
        </w:rPr>
        <w:t xml:space="preserve"> iz kojeg se sufinanciraju aktivnosti pružanja stručne pomoći u pripremi i provedbi </w:t>
      </w:r>
      <w:r w:rsidR="005B6145">
        <w:rPr>
          <w:rFonts w:ascii="Times New Roman" w:hAnsi="Times New Roman"/>
          <w:bCs/>
          <w:sz w:val="24"/>
          <w:szCs w:val="24"/>
        </w:rPr>
        <w:t>razvojnih</w:t>
      </w:r>
      <w:r w:rsidRPr="002D356C">
        <w:rPr>
          <w:rFonts w:ascii="Times New Roman" w:hAnsi="Times New Roman"/>
          <w:bCs/>
          <w:sz w:val="24"/>
          <w:szCs w:val="24"/>
        </w:rPr>
        <w:t xml:space="preserve"> projekata.</w:t>
      </w:r>
    </w:p>
    <w:p w14:paraId="1477568F" w14:textId="3CA826AD" w:rsidR="001D6354" w:rsidRPr="001D6354" w:rsidRDefault="001D6354" w:rsidP="001D6354">
      <w:pPr>
        <w:spacing w:after="0" w:line="240" w:lineRule="auto"/>
        <w:contextualSpacing/>
        <w:jc w:val="both"/>
        <w:rPr>
          <w:rFonts w:ascii="Times New Roman" w:eastAsia="Calibri" w:hAnsi="Times New Roman" w:cs="Times New Roman"/>
          <w:bCs/>
          <w:color w:val="FF0000"/>
          <w:sz w:val="24"/>
          <w:szCs w:val="24"/>
        </w:rPr>
      </w:pPr>
    </w:p>
    <w:p w14:paraId="345B8B4C" w14:textId="4C8F7C60" w:rsidR="000F4A00" w:rsidRPr="00AE5463" w:rsidRDefault="001D6354" w:rsidP="001D6354">
      <w:pPr>
        <w:spacing w:after="0" w:line="240" w:lineRule="auto"/>
        <w:contextualSpacing/>
        <w:jc w:val="both"/>
        <w:rPr>
          <w:rFonts w:ascii="Times New Roman" w:hAnsi="Times New Roman"/>
          <w:bCs/>
          <w:color w:val="FF0000"/>
          <w:sz w:val="24"/>
          <w:szCs w:val="24"/>
        </w:rPr>
      </w:pPr>
      <w:r w:rsidRPr="00BA0718">
        <w:rPr>
          <w:rFonts w:ascii="Times New Roman" w:hAnsi="Times New Roman" w:cs="Times New Roman"/>
          <w:sz w:val="24"/>
          <w:szCs w:val="24"/>
        </w:rPr>
        <w:t>Tijekom 202</w:t>
      </w:r>
      <w:r w:rsidR="007A0463" w:rsidRPr="00BA0718">
        <w:rPr>
          <w:rFonts w:ascii="Times New Roman" w:hAnsi="Times New Roman" w:cs="Times New Roman"/>
          <w:sz w:val="24"/>
          <w:szCs w:val="24"/>
        </w:rPr>
        <w:t>4</w:t>
      </w:r>
      <w:r w:rsidRPr="00BA0718">
        <w:rPr>
          <w:rFonts w:ascii="Times New Roman" w:hAnsi="Times New Roman" w:cs="Times New Roman"/>
          <w:sz w:val="24"/>
          <w:szCs w:val="24"/>
        </w:rPr>
        <w:t>. godine</w:t>
      </w:r>
      <w:r w:rsidR="007A0463" w:rsidRPr="00BA0718">
        <w:rPr>
          <w:rFonts w:ascii="Times New Roman" w:hAnsi="Times New Roman" w:cs="Times New Roman"/>
          <w:sz w:val="24"/>
          <w:szCs w:val="24"/>
        </w:rPr>
        <w:t xml:space="preserve"> </w:t>
      </w:r>
      <w:r w:rsidR="005B6145" w:rsidRPr="00BA0718">
        <w:rPr>
          <w:rFonts w:ascii="Times New Roman" w:hAnsi="Times New Roman"/>
          <w:bCs/>
          <w:sz w:val="24"/>
          <w:szCs w:val="24"/>
        </w:rPr>
        <w:t>Razvojna agencija PORA KKŽ</w:t>
      </w:r>
      <w:r w:rsidR="005B6145" w:rsidRPr="00BA0718">
        <w:rPr>
          <w:rFonts w:ascii="Times New Roman" w:hAnsi="Times New Roman" w:cs="Times New Roman"/>
          <w:sz w:val="24"/>
          <w:szCs w:val="24"/>
        </w:rPr>
        <w:t xml:space="preserve"> </w:t>
      </w:r>
      <w:r w:rsidR="007A0463" w:rsidRPr="00BA0718">
        <w:rPr>
          <w:rFonts w:ascii="Times New Roman" w:hAnsi="Times New Roman" w:cs="Times New Roman"/>
          <w:sz w:val="24"/>
          <w:szCs w:val="24"/>
        </w:rPr>
        <w:t>pruž</w:t>
      </w:r>
      <w:r w:rsidRPr="00BA0718">
        <w:rPr>
          <w:rFonts w:ascii="Times New Roman" w:hAnsi="Times New Roman" w:cs="Times New Roman"/>
          <w:sz w:val="24"/>
          <w:szCs w:val="24"/>
        </w:rPr>
        <w:t xml:space="preserve">ila je stručnu pomoć u pripremi </w:t>
      </w:r>
      <w:r w:rsidR="007A0463" w:rsidRPr="00BA0718">
        <w:rPr>
          <w:rFonts w:ascii="Times New Roman" w:hAnsi="Times New Roman" w:cs="Times New Roman"/>
          <w:sz w:val="24"/>
          <w:szCs w:val="24"/>
        </w:rPr>
        <w:t xml:space="preserve">i provedbi </w:t>
      </w:r>
      <w:r w:rsidRPr="00BA0718">
        <w:rPr>
          <w:rFonts w:ascii="Times New Roman" w:hAnsi="Times New Roman"/>
          <w:bCs/>
          <w:sz w:val="24"/>
          <w:szCs w:val="24"/>
        </w:rPr>
        <w:t xml:space="preserve">za sveukupno </w:t>
      </w:r>
      <w:r w:rsidR="00225EFF" w:rsidRPr="00BA0718">
        <w:rPr>
          <w:rFonts w:ascii="Times New Roman" w:hAnsi="Times New Roman"/>
          <w:bCs/>
          <w:sz w:val="24"/>
          <w:szCs w:val="24"/>
        </w:rPr>
        <w:t>164</w:t>
      </w:r>
      <w:r w:rsidRPr="00BA0718">
        <w:rPr>
          <w:rFonts w:ascii="Times New Roman" w:hAnsi="Times New Roman"/>
          <w:bCs/>
          <w:sz w:val="24"/>
          <w:szCs w:val="24"/>
        </w:rPr>
        <w:t xml:space="preserve"> </w:t>
      </w:r>
      <w:r w:rsidR="005B6145" w:rsidRPr="00BA0718">
        <w:rPr>
          <w:rFonts w:ascii="Times New Roman" w:hAnsi="Times New Roman"/>
          <w:bCs/>
          <w:sz w:val="24"/>
          <w:szCs w:val="24"/>
        </w:rPr>
        <w:t>razvojn</w:t>
      </w:r>
      <w:r w:rsidR="00BA0718" w:rsidRPr="00BA0718">
        <w:rPr>
          <w:rFonts w:ascii="Times New Roman" w:hAnsi="Times New Roman"/>
          <w:bCs/>
          <w:sz w:val="24"/>
          <w:szCs w:val="24"/>
        </w:rPr>
        <w:t>a</w:t>
      </w:r>
      <w:r w:rsidR="005B6145" w:rsidRPr="00BA0718">
        <w:rPr>
          <w:rFonts w:ascii="Times New Roman" w:hAnsi="Times New Roman"/>
          <w:bCs/>
          <w:sz w:val="24"/>
          <w:szCs w:val="24"/>
        </w:rPr>
        <w:t xml:space="preserve"> </w:t>
      </w:r>
      <w:r w:rsidRPr="00BA0718">
        <w:rPr>
          <w:rFonts w:ascii="Times New Roman" w:hAnsi="Times New Roman"/>
          <w:bCs/>
          <w:sz w:val="24"/>
          <w:szCs w:val="24"/>
        </w:rPr>
        <w:t xml:space="preserve">projekta ukupne vrijednosti </w:t>
      </w:r>
      <w:r w:rsidR="00225EFF" w:rsidRPr="00BA0718">
        <w:rPr>
          <w:rFonts w:ascii="Times New Roman" w:hAnsi="Times New Roman"/>
          <w:bCs/>
          <w:sz w:val="24"/>
          <w:szCs w:val="24"/>
        </w:rPr>
        <w:t>66,6</w:t>
      </w:r>
      <w:r w:rsidRPr="00BA0718">
        <w:rPr>
          <w:rFonts w:ascii="Times New Roman" w:hAnsi="Times New Roman"/>
          <w:bCs/>
          <w:sz w:val="24"/>
          <w:szCs w:val="24"/>
        </w:rPr>
        <w:t xml:space="preserve"> milijuna </w:t>
      </w:r>
      <w:r w:rsidRPr="00BA0718">
        <w:rPr>
          <w:rFonts w:ascii="Times New Roman" w:eastAsia="Times New Roman" w:hAnsi="Times New Roman" w:cs="Times New Roman"/>
          <w:bCs/>
          <w:sz w:val="24"/>
          <w:szCs w:val="24"/>
          <w:lang w:eastAsia="hr-HR"/>
        </w:rPr>
        <w:t>eura</w:t>
      </w:r>
      <w:r w:rsidR="005B6145" w:rsidRPr="00BA0718">
        <w:rPr>
          <w:rFonts w:ascii="Times New Roman" w:eastAsia="Times New Roman" w:hAnsi="Times New Roman" w:cs="Times New Roman"/>
          <w:bCs/>
          <w:sz w:val="24"/>
          <w:szCs w:val="24"/>
          <w:lang w:eastAsia="hr-HR"/>
        </w:rPr>
        <w:t>;</w:t>
      </w:r>
      <w:r w:rsidRPr="00BA0718">
        <w:rPr>
          <w:rFonts w:ascii="Times New Roman" w:eastAsia="Times New Roman" w:hAnsi="Times New Roman" w:cs="Times New Roman"/>
          <w:bCs/>
          <w:sz w:val="24"/>
          <w:szCs w:val="24"/>
          <w:lang w:eastAsia="hr-HR"/>
        </w:rPr>
        <w:t xml:space="preserve"> </w:t>
      </w:r>
      <w:r w:rsidR="002D356C" w:rsidRPr="00BA0718">
        <w:rPr>
          <w:rFonts w:ascii="Times New Roman" w:eastAsia="Times New Roman" w:hAnsi="Times New Roman" w:cs="Times New Roman"/>
          <w:bCs/>
          <w:sz w:val="24"/>
          <w:szCs w:val="24"/>
          <w:lang w:eastAsia="hr-HR"/>
        </w:rPr>
        <w:t>za</w:t>
      </w:r>
      <w:r w:rsidRPr="00BA0718">
        <w:rPr>
          <w:rFonts w:ascii="Times New Roman" w:eastAsia="Times New Roman" w:hAnsi="Times New Roman" w:cs="Times New Roman"/>
          <w:bCs/>
          <w:sz w:val="24"/>
          <w:szCs w:val="24"/>
          <w:lang w:eastAsia="hr-HR"/>
        </w:rPr>
        <w:t xml:space="preserve"> </w:t>
      </w:r>
      <w:r w:rsidRPr="00BA0718">
        <w:rPr>
          <w:rFonts w:ascii="Times New Roman" w:eastAsia="Calibri" w:hAnsi="Times New Roman" w:cs="Times New Roman"/>
          <w:bCs/>
          <w:sz w:val="24"/>
          <w:szCs w:val="24"/>
          <w:shd w:val="clear" w:color="auto" w:fill="FFFFFF"/>
        </w:rPr>
        <w:t>projekte financirane iz</w:t>
      </w:r>
      <w:r w:rsidR="00225EFF" w:rsidRPr="00BA0718">
        <w:rPr>
          <w:rFonts w:ascii="Times New Roman" w:eastAsia="Calibri" w:hAnsi="Times New Roman" w:cs="Times New Roman"/>
          <w:bCs/>
          <w:sz w:val="24"/>
          <w:szCs w:val="24"/>
          <w:shd w:val="clear" w:color="auto" w:fill="FFFFFF"/>
        </w:rPr>
        <w:t xml:space="preserve"> </w:t>
      </w:r>
      <w:r w:rsidRPr="00BA0718">
        <w:rPr>
          <w:rFonts w:ascii="Times New Roman" w:eastAsia="Calibri" w:hAnsi="Times New Roman" w:cs="Times New Roman"/>
          <w:bCs/>
          <w:sz w:val="24"/>
          <w:szCs w:val="24"/>
          <w:shd w:val="clear" w:color="auto" w:fill="FFFFFF"/>
        </w:rPr>
        <w:t xml:space="preserve"> </w:t>
      </w:r>
      <w:r w:rsidR="00225EFF" w:rsidRPr="00BA0718">
        <w:rPr>
          <w:rFonts w:ascii="Times New Roman" w:eastAsia="Calibri" w:hAnsi="Times New Roman" w:cs="Times New Roman"/>
          <w:bCs/>
          <w:sz w:val="24"/>
          <w:szCs w:val="24"/>
          <w:shd w:val="clear" w:color="auto" w:fill="FFFFFF"/>
        </w:rPr>
        <w:t>p</w:t>
      </w:r>
      <w:r w:rsidRPr="00BA0718">
        <w:rPr>
          <w:rFonts w:ascii="Times New Roman" w:eastAsia="Calibri" w:hAnsi="Times New Roman" w:cs="Times New Roman"/>
          <w:bCs/>
          <w:sz w:val="24"/>
          <w:szCs w:val="24"/>
          <w:shd w:val="clear" w:color="auto" w:fill="FFFFFF"/>
        </w:rPr>
        <w:t>oziva iz Nacionalnog plana oporavka i otpornosti 2021.-2026.</w:t>
      </w:r>
      <w:r w:rsidR="002D356C" w:rsidRPr="00BA0718">
        <w:rPr>
          <w:rFonts w:ascii="Times New Roman" w:eastAsia="Calibri" w:hAnsi="Times New Roman" w:cs="Times New Roman"/>
          <w:bCs/>
          <w:sz w:val="24"/>
          <w:szCs w:val="24"/>
          <w:shd w:val="clear" w:color="auto" w:fill="FFFFFF"/>
        </w:rPr>
        <w:t>, EFRR-a</w:t>
      </w:r>
      <w:r w:rsidRPr="00BA0718">
        <w:rPr>
          <w:rFonts w:ascii="Times New Roman" w:eastAsia="Calibri" w:hAnsi="Times New Roman" w:cs="Times New Roman"/>
          <w:bCs/>
          <w:sz w:val="24"/>
          <w:szCs w:val="24"/>
          <w:shd w:val="clear" w:color="auto" w:fill="FFFFFF"/>
        </w:rPr>
        <w:t xml:space="preserve"> te </w:t>
      </w:r>
      <w:r w:rsidR="005B6145" w:rsidRPr="00BA0718">
        <w:rPr>
          <w:rFonts w:ascii="Times New Roman" w:eastAsia="Calibri" w:hAnsi="Times New Roman" w:cs="Times New Roman"/>
          <w:bCs/>
          <w:sz w:val="24"/>
          <w:szCs w:val="24"/>
          <w:shd w:val="clear" w:color="auto" w:fill="FFFFFF"/>
        </w:rPr>
        <w:t>z</w:t>
      </w:r>
      <w:r w:rsidRPr="00BA0718">
        <w:rPr>
          <w:rFonts w:ascii="Times New Roman" w:eastAsia="Calibri" w:hAnsi="Times New Roman" w:cs="Times New Roman"/>
          <w:bCs/>
          <w:sz w:val="24"/>
          <w:szCs w:val="24"/>
          <w:shd w:val="clear" w:color="auto" w:fill="FFFFFF"/>
        </w:rPr>
        <w:t xml:space="preserve">a </w:t>
      </w:r>
      <w:r w:rsidRPr="00BA0718">
        <w:rPr>
          <w:rFonts w:ascii="Times New Roman" w:hAnsi="Times New Roman"/>
          <w:bCs/>
          <w:sz w:val="24"/>
          <w:szCs w:val="24"/>
        </w:rPr>
        <w:t>Pozive iz Europskog socijalnog fonda</w:t>
      </w:r>
      <w:r w:rsidR="005B6145" w:rsidRPr="00BA0718">
        <w:rPr>
          <w:rFonts w:ascii="Times New Roman" w:hAnsi="Times New Roman"/>
          <w:bCs/>
          <w:sz w:val="24"/>
          <w:szCs w:val="24"/>
        </w:rPr>
        <w:t>+</w:t>
      </w:r>
      <w:r w:rsidR="00225EFF" w:rsidRPr="00BA0718">
        <w:rPr>
          <w:rFonts w:ascii="Times New Roman" w:hAnsi="Times New Roman"/>
          <w:bCs/>
          <w:sz w:val="24"/>
          <w:szCs w:val="24"/>
        </w:rPr>
        <w:t xml:space="preserve"> kao i iz natječaja financiranih iz nacionalnih</w:t>
      </w:r>
      <w:r w:rsidR="00225EFF">
        <w:rPr>
          <w:rFonts w:ascii="Times New Roman" w:hAnsi="Times New Roman"/>
          <w:bCs/>
          <w:sz w:val="24"/>
          <w:szCs w:val="24"/>
        </w:rPr>
        <w:t xml:space="preserve"> sredstava</w:t>
      </w:r>
      <w:r w:rsidRPr="002D356C">
        <w:rPr>
          <w:rFonts w:ascii="Times New Roman" w:hAnsi="Times New Roman"/>
          <w:bCs/>
          <w:sz w:val="24"/>
          <w:szCs w:val="24"/>
        </w:rPr>
        <w:t xml:space="preserve">. </w:t>
      </w:r>
      <w:r w:rsidRPr="000F4A00">
        <w:rPr>
          <w:rFonts w:ascii="Times New Roman" w:hAnsi="Times New Roman"/>
          <w:bCs/>
          <w:sz w:val="24"/>
          <w:szCs w:val="24"/>
        </w:rPr>
        <w:t xml:space="preserve">Stručna pomoć u pripremi </w:t>
      </w:r>
      <w:r w:rsidR="000F4A00" w:rsidRPr="000F4A00">
        <w:rPr>
          <w:rFonts w:ascii="Times New Roman" w:hAnsi="Times New Roman"/>
          <w:bCs/>
          <w:sz w:val="24"/>
          <w:szCs w:val="24"/>
        </w:rPr>
        <w:t xml:space="preserve">i provedbi </w:t>
      </w:r>
      <w:r w:rsidR="005B6145">
        <w:rPr>
          <w:rFonts w:ascii="Times New Roman" w:hAnsi="Times New Roman"/>
          <w:bCs/>
          <w:sz w:val="24"/>
          <w:szCs w:val="24"/>
        </w:rPr>
        <w:t xml:space="preserve">razvojnih </w:t>
      </w:r>
      <w:r w:rsidR="000F4A00" w:rsidRPr="000F4A00">
        <w:rPr>
          <w:rFonts w:ascii="Times New Roman" w:hAnsi="Times New Roman"/>
          <w:bCs/>
          <w:sz w:val="24"/>
          <w:szCs w:val="24"/>
        </w:rPr>
        <w:t xml:space="preserve">projekata </w:t>
      </w:r>
      <w:r w:rsidRPr="000F4A00">
        <w:rPr>
          <w:rFonts w:ascii="Times New Roman" w:hAnsi="Times New Roman"/>
          <w:bCs/>
          <w:sz w:val="24"/>
          <w:szCs w:val="24"/>
        </w:rPr>
        <w:t xml:space="preserve">pružena je za sveukupno </w:t>
      </w:r>
      <w:r w:rsidR="000F4A00" w:rsidRPr="000F4A00">
        <w:rPr>
          <w:rFonts w:ascii="Times New Roman" w:hAnsi="Times New Roman"/>
          <w:bCs/>
          <w:sz w:val="24"/>
          <w:szCs w:val="24"/>
        </w:rPr>
        <w:t>3</w:t>
      </w:r>
      <w:r w:rsidR="00225EFF">
        <w:rPr>
          <w:rFonts w:ascii="Times New Roman" w:hAnsi="Times New Roman"/>
          <w:bCs/>
          <w:sz w:val="24"/>
          <w:szCs w:val="24"/>
        </w:rPr>
        <w:t>4</w:t>
      </w:r>
      <w:r w:rsidRPr="000F4A00">
        <w:rPr>
          <w:rFonts w:ascii="Times New Roman" w:hAnsi="Times New Roman"/>
          <w:bCs/>
          <w:sz w:val="24"/>
          <w:szCs w:val="24"/>
        </w:rPr>
        <w:t xml:space="preserve"> korisnika i to </w:t>
      </w:r>
      <w:r w:rsidR="000F4A00" w:rsidRPr="00225EFF">
        <w:rPr>
          <w:rFonts w:ascii="Times New Roman" w:hAnsi="Times New Roman"/>
          <w:bCs/>
          <w:sz w:val="24"/>
          <w:szCs w:val="24"/>
        </w:rPr>
        <w:t>2</w:t>
      </w:r>
      <w:r w:rsidR="004C6623" w:rsidRPr="00225EFF">
        <w:rPr>
          <w:rFonts w:ascii="Times New Roman" w:hAnsi="Times New Roman"/>
          <w:bCs/>
          <w:sz w:val="24"/>
          <w:szCs w:val="24"/>
        </w:rPr>
        <w:t>2</w:t>
      </w:r>
      <w:r w:rsidR="000F4A00" w:rsidRPr="00225EFF">
        <w:rPr>
          <w:rFonts w:ascii="Times New Roman" w:hAnsi="Times New Roman"/>
          <w:bCs/>
          <w:sz w:val="24"/>
          <w:szCs w:val="24"/>
        </w:rPr>
        <w:t xml:space="preserve"> </w:t>
      </w:r>
      <w:r w:rsidRPr="00225EFF">
        <w:rPr>
          <w:rFonts w:ascii="Times New Roman" w:hAnsi="Times New Roman"/>
          <w:bCs/>
          <w:sz w:val="24"/>
          <w:szCs w:val="24"/>
        </w:rPr>
        <w:t>jedinic</w:t>
      </w:r>
      <w:r w:rsidR="004C6623" w:rsidRPr="00225EFF">
        <w:rPr>
          <w:rFonts w:ascii="Times New Roman" w:hAnsi="Times New Roman"/>
          <w:bCs/>
          <w:sz w:val="24"/>
          <w:szCs w:val="24"/>
        </w:rPr>
        <w:t>e</w:t>
      </w:r>
      <w:r w:rsidRPr="00225EFF">
        <w:rPr>
          <w:rFonts w:ascii="Times New Roman" w:hAnsi="Times New Roman"/>
          <w:bCs/>
          <w:sz w:val="24"/>
          <w:szCs w:val="24"/>
        </w:rPr>
        <w:t xml:space="preserve"> lokalne samouprave, </w:t>
      </w:r>
      <w:r w:rsidRPr="000F4A00">
        <w:rPr>
          <w:rFonts w:ascii="Times New Roman" w:hAnsi="Times New Roman"/>
          <w:bCs/>
          <w:sz w:val="24"/>
          <w:szCs w:val="24"/>
        </w:rPr>
        <w:t xml:space="preserve">KKŽ te ostala javnopravna tijela s područja KKŽ. </w:t>
      </w:r>
    </w:p>
    <w:p w14:paraId="7E2B14F2" w14:textId="77777777" w:rsidR="000F4A00" w:rsidRDefault="000F4A00" w:rsidP="001D6354">
      <w:pPr>
        <w:spacing w:after="0" w:line="240" w:lineRule="auto"/>
        <w:contextualSpacing/>
        <w:jc w:val="both"/>
        <w:rPr>
          <w:rFonts w:ascii="Times New Roman" w:hAnsi="Times New Roman"/>
          <w:bCs/>
          <w:color w:val="FFC000"/>
          <w:sz w:val="24"/>
          <w:szCs w:val="24"/>
        </w:rPr>
      </w:pPr>
    </w:p>
    <w:p w14:paraId="12719F78" w14:textId="77777777" w:rsidR="00191B90" w:rsidRDefault="00A330D4" w:rsidP="001D6354">
      <w:pPr>
        <w:spacing w:after="0" w:line="240" w:lineRule="auto"/>
        <w:jc w:val="both"/>
        <w:rPr>
          <w:rFonts w:ascii="Times New Roman" w:eastAsia="Times New Roman" w:hAnsi="Times New Roman" w:cs="Times New Roman"/>
          <w:sz w:val="24"/>
          <w:szCs w:val="24"/>
          <w:lang w:eastAsia="hr-HR"/>
        </w:rPr>
      </w:pPr>
      <w:r w:rsidRPr="007327F0">
        <w:rPr>
          <w:rFonts w:ascii="Times New Roman" w:hAnsi="Times New Roman" w:cs="Times New Roman"/>
          <w:bCs/>
          <w:sz w:val="24"/>
          <w:szCs w:val="24"/>
        </w:rPr>
        <w:t>N</w:t>
      </w:r>
      <w:r w:rsidR="001D6354" w:rsidRPr="007327F0">
        <w:rPr>
          <w:rFonts w:ascii="Times New Roman" w:hAnsi="Times New Roman" w:cs="Times New Roman"/>
          <w:bCs/>
          <w:sz w:val="24"/>
          <w:szCs w:val="24"/>
        </w:rPr>
        <w:t xml:space="preserve">ajveći dio </w:t>
      </w:r>
      <w:r w:rsidR="001D6354" w:rsidRPr="007327F0">
        <w:rPr>
          <w:rFonts w:ascii="Times New Roman" w:hAnsi="Times New Roman"/>
          <w:bCs/>
          <w:sz w:val="24"/>
          <w:szCs w:val="24"/>
        </w:rPr>
        <w:t>odnosi</w:t>
      </w:r>
      <w:r w:rsidRPr="007327F0">
        <w:rPr>
          <w:rFonts w:ascii="Times New Roman" w:hAnsi="Times New Roman"/>
          <w:bCs/>
          <w:sz w:val="24"/>
          <w:szCs w:val="24"/>
        </w:rPr>
        <w:t xml:space="preserve"> se</w:t>
      </w:r>
      <w:r w:rsidR="001D6354" w:rsidRPr="007327F0">
        <w:rPr>
          <w:rFonts w:ascii="Times New Roman" w:hAnsi="Times New Roman"/>
          <w:bCs/>
          <w:sz w:val="24"/>
          <w:szCs w:val="24"/>
        </w:rPr>
        <w:t xml:space="preserve"> na projekte iz područja </w:t>
      </w:r>
      <w:r w:rsidR="0044116D" w:rsidRPr="007327F0">
        <w:rPr>
          <w:rFonts w:ascii="Times New Roman" w:hAnsi="Times New Roman"/>
          <w:bCs/>
          <w:sz w:val="24"/>
          <w:szCs w:val="24"/>
        </w:rPr>
        <w:t xml:space="preserve">prometne i komunalne infrastrukture, predškolskog i osnovnoškolskog </w:t>
      </w:r>
      <w:r w:rsidR="001D6354" w:rsidRPr="007327F0">
        <w:rPr>
          <w:rFonts w:ascii="Times New Roman" w:hAnsi="Times New Roman"/>
          <w:bCs/>
          <w:sz w:val="24"/>
          <w:szCs w:val="24"/>
        </w:rPr>
        <w:t>obrazovanja</w:t>
      </w:r>
      <w:r w:rsidR="0044116D" w:rsidRPr="007327F0">
        <w:rPr>
          <w:rFonts w:ascii="Times New Roman" w:hAnsi="Times New Roman"/>
          <w:bCs/>
          <w:sz w:val="24"/>
          <w:szCs w:val="24"/>
        </w:rPr>
        <w:t>,</w:t>
      </w:r>
      <w:r w:rsidR="001D6354" w:rsidRPr="007327F0">
        <w:rPr>
          <w:rFonts w:ascii="Times New Roman" w:hAnsi="Times New Roman"/>
          <w:bCs/>
          <w:sz w:val="24"/>
          <w:szCs w:val="24"/>
        </w:rPr>
        <w:t xml:space="preserve"> </w:t>
      </w:r>
      <w:r w:rsidR="0044116D" w:rsidRPr="007327F0">
        <w:rPr>
          <w:rFonts w:ascii="Times New Roman" w:hAnsi="Times New Roman"/>
          <w:bCs/>
          <w:sz w:val="24"/>
          <w:szCs w:val="24"/>
        </w:rPr>
        <w:t xml:space="preserve">sportske i turističke infrastrukture te </w:t>
      </w:r>
      <w:r w:rsidR="001D6354" w:rsidRPr="007327F0">
        <w:rPr>
          <w:rFonts w:ascii="Times New Roman" w:hAnsi="Times New Roman"/>
          <w:bCs/>
          <w:sz w:val="24"/>
          <w:szCs w:val="24"/>
        </w:rPr>
        <w:t xml:space="preserve">unapređenja socijalnih usluga u KKŽ. </w:t>
      </w:r>
      <w:r w:rsidR="007327F0" w:rsidRPr="007327F0">
        <w:rPr>
          <w:rFonts w:ascii="Times New Roman" w:hAnsi="Times New Roman"/>
          <w:bCs/>
          <w:sz w:val="24"/>
          <w:szCs w:val="24"/>
        </w:rPr>
        <w:t xml:space="preserve">Posebice ističemo dva najveća infrastrukturna projekta </w:t>
      </w:r>
      <w:r w:rsidR="007327F0">
        <w:rPr>
          <w:rFonts w:ascii="Times New Roman" w:hAnsi="Times New Roman"/>
          <w:bCs/>
          <w:sz w:val="24"/>
          <w:szCs w:val="24"/>
        </w:rPr>
        <w:t xml:space="preserve">u području turizma </w:t>
      </w:r>
      <w:r w:rsidR="007327F0" w:rsidRPr="007327F0">
        <w:rPr>
          <w:rFonts w:ascii="Times New Roman" w:hAnsi="Times New Roman"/>
          <w:bCs/>
          <w:sz w:val="24"/>
          <w:szCs w:val="24"/>
        </w:rPr>
        <w:t>koji su započeli s provedbom u 2024. godini</w:t>
      </w:r>
      <w:r w:rsidR="008D1232" w:rsidRPr="008D1232">
        <w:rPr>
          <w:rFonts w:ascii="Times New Roman" w:eastAsia="Times New Roman" w:hAnsi="Times New Roman" w:cs="Times New Roman"/>
          <w:sz w:val="24"/>
          <w:szCs w:val="24"/>
          <w:lang w:eastAsia="hr-HR"/>
        </w:rPr>
        <w:t xml:space="preserve"> </w:t>
      </w:r>
      <w:r w:rsidR="008D1232">
        <w:rPr>
          <w:rFonts w:ascii="Times New Roman" w:eastAsia="Times New Roman" w:hAnsi="Times New Roman" w:cs="Times New Roman"/>
          <w:sz w:val="24"/>
          <w:szCs w:val="24"/>
          <w:lang w:eastAsia="hr-HR"/>
        </w:rPr>
        <w:t xml:space="preserve">u </w:t>
      </w:r>
      <w:r w:rsidR="008D1232" w:rsidRPr="007327F0">
        <w:rPr>
          <w:rFonts w:ascii="Times New Roman" w:eastAsia="Times New Roman" w:hAnsi="Times New Roman" w:cs="Times New Roman"/>
          <w:sz w:val="24"/>
          <w:szCs w:val="24"/>
          <w:lang w:eastAsia="hr-HR"/>
        </w:rPr>
        <w:t>vrijednost</w:t>
      </w:r>
      <w:r w:rsidR="008D1232">
        <w:rPr>
          <w:rFonts w:ascii="Times New Roman" w:eastAsia="Times New Roman" w:hAnsi="Times New Roman" w:cs="Times New Roman"/>
          <w:sz w:val="24"/>
          <w:szCs w:val="24"/>
          <w:lang w:eastAsia="hr-HR"/>
        </w:rPr>
        <w:t>i većoj</w:t>
      </w:r>
      <w:r w:rsidR="008D1232" w:rsidRPr="007327F0">
        <w:rPr>
          <w:rFonts w:ascii="Times New Roman" w:eastAsia="Times New Roman" w:hAnsi="Times New Roman" w:cs="Times New Roman"/>
          <w:sz w:val="24"/>
          <w:szCs w:val="24"/>
          <w:lang w:eastAsia="hr-HR"/>
        </w:rPr>
        <w:t xml:space="preserve"> od 16 milijuna eura</w:t>
      </w:r>
      <w:r w:rsidR="007327F0" w:rsidRPr="007327F0">
        <w:rPr>
          <w:rFonts w:ascii="Times New Roman" w:hAnsi="Times New Roman"/>
          <w:bCs/>
          <w:sz w:val="24"/>
          <w:szCs w:val="24"/>
        </w:rPr>
        <w:t>, a to je projekt „</w:t>
      </w:r>
      <w:r w:rsidR="007327F0" w:rsidRPr="007327F0">
        <w:rPr>
          <w:rFonts w:ascii="Times New Roman" w:eastAsia="Times New Roman" w:hAnsi="Times New Roman" w:cs="Times New Roman"/>
          <w:sz w:val="24"/>
          <w:szCs w:val="24"/>
          <w:lang w:eastAsia="hr-HR"/>
        </w:rPr>
        <w:t>Rekonstrukcija dvorca Inkey u infrastrukturu u funkciji razvoja wellness turizma“ i projekt „Interpretacijski centar 'Bolenov dravski put'“.</w:t>
      </w:r>
      <w:r w:rsidR="007327F0">
        <w:rPr>
          <w:rFonts w:ascii="Times New Roman" w:eastAsia="Times New Roman" w:hAnsi="Times New Roman" w:cs="Times New Roman"/>
          <w:sz w:val="24"/>
          <w:szCs w:val="24"/>
          <w:lang w:eastAsia="hr-HR"/>
        </w:rPr>
        <w:t xml:space="preserve"> </w:t>
      </w:r>
      <w:r w:rsidR="000663DA">
        <w:rPr>
          <w:rFonts w:ascii="Times New Roman" w:eastAsia="Times New Roman" w:hAnsi="Times New Roman" w:cs="Times New Roman"/>
          <w:sz w:val="24"/>
          <w:szCs w:val="24"/>
          <w:lang w:eastAsia="hr-HR"/>
        </w:rPr>
        <w:t xml:space="preserve"> Od ostalih razvojnih projekata ističemo</w:t>
      </w:r>
      <w:r w:rsidR="007327F0">
        <w:rPr>
          <w:rFonts w:ascii="Times New Roman" w:eastAsia="Times New Roman" w:hAnsi="Times New Roman" w:cs="Times New Roman"/>
          <w:sz w:val="24"/>
          <w:szCs w:val="24"/>
          <w:lang w:eastAsia="hr-HR"/>
        </w:rPr>
        <w:t xml:space="preserve"> projek</w:t>
      </w:r>
      <w:r w:rsidR="000663DA">
        <w:rPr>
          <w:rFonts w:ascii="Times New Roman" w:eastAsia="Times New Roman" w:hAnsi="Times New Roman" w:cs="Times New Roman"/>
          <w:sz w:val="24"/>
          <w:szCs w:val="24"/>
          <w:lang w:eastAsia="hr-HR"/>
        </w:rPr>
        <w:t>te</w:t>
      </w:r>
      <w:r w:rsidR="007327F0">
        <w:rPr>
          <w:rFonts w:ascii="Times New Roman" w:eastAsia="Times New Roman" w:hAnsi="Times New Roman" w:cs="Times New Roman"/>
          <w:sz w:val="24"/>
          <w:szCs w:val="24"/>
          <w:lang w:eastAsia="hr-HR"/>
        </w:rPr>
        <w:t xml:space="preserve"> izgradnje i opremanja 12 dječjih vrtića na području županije, zatim pripremljen</w:t>
      </w:r>
      <w:r w:rsidR="00BA0718">
        <w:rPr>
          <w:rFonts w:ascii="Times New Roman" w:eastAsia="Times New Roman" w:hAnsi="Times New Roman" w:cs="Times New Roman"/>
          <w:sz w:val="24"/>
          <w:szCs w:val="24"/>
          <w:lang w:eastAsia="hr-HR"/>
        </w:rPr>
        <w:t>a</w:t>
      </w:r>
      <w:r w:rsidR="007327F0">
        <w:rPr>
          <w:rFonts w:ascii="Times New Roman" w:eastAsia="Times New Roman" w:hAnsi="Times New Roman" w:cs="Times New Roman"/>
          <w:sz w:val="24"/>
          <w:szCs w:val="24"/>
          <w:lang w:eastAsia="hr-HR"/>
        </w:rPr>
        <w:t xml:space="preserve"> </w:t>
      </w:r>
      <w:r w:rsidR="00BA0718">
        <w:rPr>
          <w:rFonts w:ascii="Times New Roman" w:eastAsia="Times New Roman" w:hAnsi="Times New Roman" w:cs="Times New Roman"/>
          <w:sz w:val="24"/>
          <w:szCs w:val="24"/>
          <w:lang w:eastAsia="hr-HR"/>
        </w:rPr>
        <w:t>su</w:t>
      </w:r>
      <w:r w:rsidR="007327F0">
        <w:rPr>
          <w:rFonts w:ascii="Times New Roman" w:eastAsia="Times New Roman" w:hAnsi="Times New Roman" w:cs="Times New Roman"/>
          <w:sz w:val="24"/>
          <w:szCs w:val="24"/>
          <w:lang w:eastAsia="hr-HR"/>
        </w:rPr>
        <w:t xml:space="preserve"> i </w:t>
      </w:r>
      <w:r w:rsidR="00862044">
        <w:rPr>
          <w:rFonts w:ascii="Times New Roman" w:eastAsia="Times New Roman" w:hAnsi="Times New Roman" w:cs="Times New Roman"/>
          <w:sz w:val="24"/>
          <w:szCs w:val="24"/>
          <w:lang w:eastAsia="hr-HR"/>
        </w:rPr>
        <w:t>32</w:t>
      </w:r>
      <w:r w:rsidR="007327F0">
        <w:rPr>
          <w:rFonts w:ascii="Times New Roman" w:eastAsia="Times New Roman" w:hAnsi="Times New Roman" w:cs="Times New Roman"/>
          <w:sz w:val="24"/>
          <w:szCs w:val="24"/>
          <w:lang w:eastAsia="hr-HR"/>
        </w:rPr>
        <w:t xml:space="preserve"> projekta modernizacije i rekonstrukcije nerazvrstanih cesta </w:t>
      </w:r>
      <w:r w:rsidR="00862044">
        <w:rPr>
          <w:rFonts w:ascii="Times New Roman" w:eastAsia="Times New Roman" w:hAnsi="Times New Roman" w:cs="Times New Roman"/>
          <w:sz w:val="24"/>
          <w:szCs w:val="24"/>
          <w:lang w:eastAsia="hr-HR"/>
        </w:rPr>
        <w:t xml:space="preserve">i pješačkih staza </w:t>
      </w:r>
      <w:r w:rsidR="007327F0">
        <w:rPr>
          <w:rFonts w:ascii="Times New Roman" w:eastAsia="Times New Roman" w:hAnsi="Times New Roman" w:cs="Times New Roman"/>
          <w:sz w:val="24"/>
          <w:szCs w:val="24"/>
          <w:lang w:eastAsia="hr-HR"/>
        </w:rPr>
        <w:t>diljem županije, te je u provedbi i 13 projekata izrade izmjena i dopuna prostornih i</w:t>
      </w:r>
      <w:r w:rsidR="008D1232">
        <w:rPr>
          <w:rFonts w:ascii="Times New Roman" w:eastAsia="Times New Roman" w:hAnsi="Times New Roman" w:cs="Times New Roman"/>
          <w:sz w:val="24"/>
          <w:szCs w:val="24"/>
          <w:lang w:eastAsia="hr-HR"/>
        </w:rPr>
        <w:t xml:space="preserve"> </w:t>
      </w:r>
    </w:p>
    <w:p w14:paraId="38CC049F" w14:textId="54DE06C6" w:rsidR="0084126E" w:rsidRPr="006E3187" w:rsidRDefault="008D1232" w:rsidP="001D635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lastRenderedPageBreak/>
        <w:t>urbanističkog plana za područje 12 JLS-a</w:t>
      </w:r>
      <w:r w:rsidR="00862044">
        <w:rPr>
          <w:rFonts w:ascii="Times New Roman" w:eastAsia="Times New Roman" w:hAnsi="Times New Roman" w:cs="Times New Roman"/>
          <w:sz w:val="24"/>
          <w:szCs w:val="24"/>
          <w:lang w:eastAsia="hr-HR"/>
        </w:rPr>
        <w:t xml:space="preserve">, </w:t>
      </w:r>
      <w:r w:rsidR="00F47A23" w:rsidRPr="00862044">
        <w:rPr>
          <w:rFonts w:ascii="Times New Roman" w:hAnsi="Times New Roman"/>
          <w:bCs/>
          <w:sz w:val="24"/>
          <w:szCs w:val="24"/>
        </w:rPr>
        <w:t xml:space="preserve">te 20 projekata </w:t>
      </w:r>
      <w:r w:rsidR="00862044" w:rsidRPr="00862044">
        <w:rPr>
          <w:rFonts w:ascii="Times New Roman" w:hAnsi="Times New Roman"/>
          <w:bCs/>
          <w:sz w:val="24"/>
          <w:szCs w:val="24"/>
        </w:rPr>
        <w:t>novih i obnovljenih</w:t>
      </w:r>
      <w:r w:rsidR="00F47A23" w:rsidRPr="00862044">
        <w:rPr>
          <w:rFonts w:ascii="Times New Roman" w:hAnsi="Times New Roman"/>
          <w:bCs/>
          <w:sz w:val="24"/>
          <w:szCs w:val="24"/>
        </w:rPr>
        <w:t xml:space="preserve"> sportskih terena, dječjih i školskih igrališta. </w:t>
      </w:r>
      <w:r w:rsidR="006E3187" w:rsidRPr="00862044">
        <w:rPr>
          <w:rFonts w:ascii="Times New Roman" w:hAnsi="Times New Roman" w:cs="Times New Roman"/>
          <w:sz w:val="24"/>
          <w:szCs w:val="24"/>
        </w:rPr>
        <w:t>Svi navedeni proj</w:t>
      </w:r>
      <w:r w:rsidR="006E3187" w:rsidRPr="006E3187">
        <w:rPr>
          <w:rFonts w:ascii="Times New Roman" w:hAnsi="Times New Roman" w:cs="Times New Roman"/>
          <w:sz w:val="24"/>
          <w:szCs w:val="24"/>
        </w:rPr>
        <w:t xml:space="preserve">ekti doprinose </w:t>
      </w:r>
      <w:r w:rsidR="006E3187">
        <w:rPr>
          <w:rFonts w:ascii="Times New Roman" w:hAnsi="Times New Roman" w:cs="Times New Roman"/>
          <w:sz w:val="24"/>
          <w:szCs w:val="24"/>
        </w:rPr>
        <w:t xml:space="preserve">unaprjeđenju </w:t>
      </w:r>
      <w:r w:rsidR="006E3187" w:rsidRPr="006E3187">
        <w:rPr>
          <w:rFonts w:ascii="Times New Roman" w:hAnsi="Times New Roman" w:cs="Times New Roman"/>
          <w:sz w:val="24"/>
          <w:szCs w:val="24"/>
        </w:rPr>
        <w:t>ruralno</w:t>
      </w:r>
      <w:r w:rsidR="006E3187">
        <w:rPr>
          <w:rFonts w:ascii="Times New Roman" w:hAnsi="Times New Roman" w:cs="Times New Roman"/>
          <w:sz w:val="24"/>
          <w:szCs w:val="24"/>
        </w:rPr>
        <w:t>g</w:t>
      </w:r>
      <w:r w:rsidR="006E3187" w:rsidRPr="006E3187">
        <w:rPr>
          <w:rFonts w:ascii="Times New Roman" w:hAnsi="Times New Roman" w:cs="Times New Roman"/>
          <w:sz w:val="24"/>
          <w:szCs w:val="24"/>
        </w:rPr>
        <w:t xml:space="preserve"> i regionalno</w:t>
      </w:r>
      <w:r w:rsidR="006E3187">
        <w:rPr>
          <w:rFonts w:ascii="Times New Roman" w:hAnsi="Times New Roman" w:cs="Times New Roman"/>
          <w:sz w:val="24"/>
          <w:szCs w:val="24"/>
        </w:rPr>
        <w:t>g</w:t>
      </w:r>
      <w:r w:rsidR="006E3187" w:rsidRPr="006E3187">
        <w:rPr>
          <w:rFonts w:ascii="Times New Roman" w:hAnsi="Times New Roman" w:cs="Times New Roman"/>
          <w:sz w:val="24"/>
          <w:szCs w:val="24"/>
        </w:rPr>
        <w:t xml:space="preserve"> razvoj</w:t>
      </w:r>
      <w:r w:rsidR="006E3187">
        <w:rPr>
          <w:rFonts w:ascii="Times New Roman" w:hAnsi="Times New Roman" w:cs="Times New Roman"/>
          <w:sz w:val="24"/>
          <w:szCs w:val="24"/>
        </w:rPr>
        <w:t>a</w:t>
      </w:r>
      <w:r w:rsidR="006E3187" w:rsidRPr="006E3187">
        <w:rPr>
          <w:rFonts w:ascii="Times New Roman" w:hAnsi="Times New Roman" w:cs="Times New Roman"/>
          <w:sz w:val="24"/>
          <w:szCs w:val="24"/>
        </w:rPr>
        <w:t xml:space="preserve"> Koprivničko-križevačke županije.</w:t>
      </w:r>
    </w:p>
    <w:p w14:paraId="1BA9C9BC" w14:textId="07119C63" w:rsidR="0084126E" w:rsidRDefault="0084126E" w:rsidP="001D6354">
      <w:pPr>
        <w:spacing w:after="0" w:line="240" w:lineRule="auto"/>
        <w:contextualSpacing/>
        <w:jc w:val="both"/>
        <w:rPr>
          <w:rFonts w:ascii="Times New Roman" w:hAnsi="Times New Roman"/>
          <w:bCs/>
          <w:color w:val="FF0000"/>
          <w:sz w:val="24"/>
          <w:szCs w:val="24"/>
        </w:rPr>
      </w:pPr>
    </w:p>
    <w:p w14:paraId="140D99AE" w14:textId="77777777" w:rsidR="00862044" w:rsidRPr="001D6354" w:rsidRDefault="00862044" w:rsidP="001D6354">
      <w:pPr>
        <w:spacing w:after="0" w:line="240" w:lineRule="auto"/>
        <w:contextualSpacing/>
        <w:jc w:val="both"/>
        <w:rPr>
          <w:rFonts w:ascii="Times New Roman" w:hAnsi="Times New Roman"/>
          <w:bCs/>
          <w:color w:val="FF0000"/>
          <w:sz w:val="24"/>
          <w:szCs w:val="24"/>
        </w:rPr>
      </w:pPr>
    </w:p>
    <w:p w14:paraId="6E12BCC9" w14:textId="03DDBFD5" w:rsidR="009C2188" w:rsidRPr="00E721E2" w:rsidRDefault="009C2188" w:rsidP="009C2188">
      <w:pPr>
        <w:spacing w:after="0" w:line="240" w:lineRule="auto"/>
        <w:jc w:val="center"/>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Članak 4.</w:t>
      </w:r>
    </w:p>
    <w:p w14:paraId="3A32A168" w14:textId="77777777" w:rsidR="009C2188" w:rsidRPr="00E721E2" w:rsidRDefault="009C2188" w:rsidP="00A5097F">
      <w:pPr>
        <w:spacing w:after="0" w:line="240" w:lineRule="auto"/>
        <w:jc w:val="both"/>
        <w:rPr>
          <w:rFonts w:ascii="Times New Roman" w:eastAsia="Calibri" w:hAnsi="Times New Roman" w:cs="Times New Roman"/>
          <w:sz w:val="24"/>
          <w:szCs w:val="24"/>
          <w:lang w:eastAsia="ar-SA"/>
        </w:rPr>
      </w:pPr>
    </w:p>
    <w:p w14:paraId="6CCEE8C9" w14:textId="77777777" w:rsidR="009C2188" w:rsidRPr="00E721E2" w:rsidRDefault="009C2188" w:rsidP="00A5097F">
      <w:pPr>
        <w:spacing w:after="0" w:line="240" w:lineRule="auto"/>
        <w:jc w:val="both"/>
        <w:rPr>
          <w:rFonts w:ascii="Times New Roman" w:eastAsia="Calibri" w:hAnsi="Times New Roman" w:cs="Times New Roman"/>
          <w:sz w:val="24"/>
          <w:szCs w:val="24"/>
          <w:lang w:eastAsia="ar-SA"/>
        </w:rPr>
      </w:pPr>
    </w:p>
    <w:p w14:paraId="126DAD6E" w14:textId="39BBB2D9" w:rsidR="0097659D" w:rsidRDefault="00B7179F" w:rsidP="00A5097F">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Izvješće o radu i </w:t>
      </w:r>
      <w:r w:rsidR="009C2188" w:rsidRPr="00E721E2">
        <w:rPr>
          <w:rFonts w:ascii="Times New Roman" w:eastAsia="Calibri" w:hAnsi="Times New Roman" w:cs="Times New Roman"/>
          <w:sz w:val="24"/>
          <w:szCs w:val="24"/>
          <w:lang w:eastAsia="ar-SA"/>
        </w:rPr>
        <w:t>izvršenju Financijskog plana PORE Regionalne razvojne agencije Koprivničko-križevačke županije za</w:t>
      </w:r>
      <w:r w:rsidR="00C06DE6" w:rsidRPr="00E721E2">
        <w:rPr>
          <w:rFonts w:ascii="Times New Roman" w:eastAsia="Calibri" w:hAnsi="Times New Roman" w:cs="Times New Roman"/>
          <w:sz w:val="24"/>
          <w:szCs w:val="24"/>
          <w:lang w:eastAsia="ar-SA"/>
        </w:rPr>
        <w:t xml:space="preserve"> razdoblje od 1. siječnja do 3</w:t>
      </w:r>
      <w:r>
        <w:rPr>
          <w:rFonts w:ascii="Times New Roman" w:eastAsia="Calibri" w:hAnsi="Times New Roman" w:cs="Times New Roman"/>
          <w:sz w:val="24"/>
          <w:szCs w:val="24"/>
          <w:lang w:eastAsia="ar-SA"/>
        </w:rPr>
        <w:t>1</w:t>
      </w:r>
      <w:r w:rsidR="00C06DE6" w:rsidRPr="00E721E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prosinca</w:t>
      </w:r>
      <w:r w:rsidR="00C06DE6" w:rsidRPr="00E721E2">
        <w:rPr>
          <w:rFonts w:ascii="Times New Roman" w:eastAsia="Calibri" w:hAnsi="Times New Roman" w:cs="Times New Roman"/>
          <w:sz w:val="24"/>
          <w:szCs w:val="24"/>
          <w:lang w:eastAsia="ar-SA"/>
        </w:rPr>
        <w:t xml:space="preserve"> 2024. godine</w:t>
      </w:r>
      <w:r w:rsidR="0097659D">
        <w:rPr>
          <w:rFonts w:ascii="Times New Roman" w:eastAsia="Calibri" w:hAnsi="Times New Roman" w:cs="Times New Roman"/>
          <w:sz w:val="24"/>
          <w:szCs w:val="24"/>
          <w:lang w:eastAsia="ar-SA"/>
        </w:rPr>
        <w:t xml:space="preserve"> proslijedit će se nadležnom Upravnom odjelu za gospodarstvo, komunalne djelatnosti i poljoprivredu Koprivničko-križevačke županije te na suglasnost Županu Koprivničko-križevačke županije i Županijskoj skupštini.</w:t>
      </w:r>
    </w:p>
    <w:p w14:paraId="43C6F487" w14:textId="1820144A" w:rsidR="009C2188" w:rsidRDefault="009C2188" w:rsidP="00A5097F">
      <w:pPr>
        <w:spacing w:after="0" w:line="240" w:lineRule="auto"/>
        <w:jc w:val="both"/>
        <w:rPr>
          <w:rFonts w:ascii="Times New Roman" w:eastAsia="Calibri" w:hAnsi="Times New Roman" w:cs="Times New Roman"/>
          <w:sz w:val="24"/>
          <w:szCs w:val="24"/>
          <w:lang w:eastAsia="ar-SA"/>
        </w:rPr>
      </w:pPr>
    </w:p>
    <w:p w14:paraId="076F486F" w14:textId="77777777" w:rsidR="0097659D" w:rsidRDefault="0097659D" w:rsidP="00A5097F">
      <w:pPr>
        <w:spacing w:after="0" w:line="240" w:lineRule="auto"/>
        <w:jc w:val="both"/>
        <w:rPr>
          <w:rFonts w:ascii="Times New Roman" w:eastAsia="Calibri" w:hAnsi="Times New Roman" w:cs="Times New Roman"/>
          <w:sz w:val="24"/>
          <w:szCs w:val="24"/>
          <w:lang w:eastAsia="ar-SA"/>
        </w:rPr>
      </w:pPr>
    </w:p>
    <w:p w14:paraId="04C560FC" w14:textId="77777777" w:rsidR="0097659D" w:rsidRDefault="0097659D" w:rsidP="00A5097F">
      <w:pPr>
        <w:spacing w:after="0" w:line="240" w:lineRule="auto"/>
        <w:jc w:val="both"/>
        <w:rPr>
          <w:rFonts w:ascii="Times New Roman" w:eastAsia="Calibri" w:hAnsi="Times New Roman" w:cs="Times New Roman"/>
          <w:sz w:val="24"/>
          <w:szCs w:val="24"/>
          <w:lang w:eastAsia="ar-SA"/>
        </w:rPr>
      </w:pPr>
    </w:p>
    <w:p w14:paraId="13AB52E9" w14:textId="7645B1A3" w:rsidR="0097659D" w:rsidRPr="00E721E2" w:rsidRDefault="0097659D" w:rsidP="00A5097F">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Predlaže se Upravnom vijeću PORE Regionalne razvojne agencije Koprivničko-križevačke županije donošenje Izvješća o radu i izvršenju financijskog plana PORE Regionalne razvojne agencije Koprivničko-križevačke županije za 2024. godinu.</w:t>
      </w:r>
    </w:p>
    <w:p w14:paraId="09D4DB02" w14:textId="77777777" w:rsidR="009C2188" w:rsidRDefault="009C2188" w:rsidP="00A5097F">
      <w:pPr>
        <w:spacing w:after="0" w:line="240" w:lineRule="auto"/>
        <w:jc w:val="both"/>
        <w:rPr>
          <w:rFonts w:ascii="Times New Roman" w:eastAsia="Calibri" w:hAnsi="Times New Roman" w:cs="Times New Roman"/>
          <w:sz w:val="24"/>
          <w:szCs w:val="24"/>
          <w:lang w:eastAsia="ar-SA"/>
        </w:rPr>
      </w:pPr>
    </w:p>
    <w:p w14:paraId="6916DE55" w14:textId="77777777" w:rsidR="00635CFC" w:rsidRPr="00E721E2" w:rsidRDefault="00635CFC" w:rsidP="00A5097F">
      <w:pPr>
        <w:spacing w:after="0" w:line="240" w:lineRule="auto"/>
        <w:jc w:val="both"/>
        <w:rPr>
          <w:rFonts w:ascii="Times New Roman" w:eastAsia="Calibri" w:hAnsi="Times New Roman" w:cs="Times New Roman"/>
          <w:sz w:val="24"/>
          <w:szCs w:val="24"/>
          <w:lang w:eastAsia="ar-SA"/>
        </w:rPr>
      </w:pPr>
    </w:p>
    <w:p w14:paraId="54045EA9" w14:textId="4BDBD8BE" w:rsidR="009C2188" w:rsidRPr="00E721E2" w:rsidRDefault="009C2188" w:rsidP="009C2188">
      <w:pPr>
        <w:spacing w:after="0" w:line="240" w:lineRule="auto"/>
        <w:jc w:val="center"/>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UPRAVNO VIJEĆE</w:t>
      </w:r>
    </w:p>
    <w:p w14:paraId="7568C6C2" w14:textId="77777777" w:rsidR="009C2188" w:rsidRPr="00E721E2" w:rsidRDefault="009C2188" w:rsidP="009C2188">
      <w:pPr>
        <w:spacing w:after="0" w:line="240" w:lineRule="auto"/>
        <w:jc w:val="center"/>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PORE REGIONALNE RAZVOJNE AGENCIJE</w:t>
      </w:r>
    </w:p>
    <w:p w14:paraId="249AAF8C" w14:textId="4C16D102" w:rsidR="009C2188" w:rsidRPr="00E721E2" w:rsidRDefault="009C2188" w:rsidP="009C2188">
      <w:pPr>
        <w:spacing w:after="0" w:line="240" w:lineRule="auto"/>
        <w:jc w:val="center"/>
        <w:rPr>
          <w:rFonts w:ascii="Times New Roman" w:eastAsia="Calibri" w:hAnsi="Times New Roman" w:cs="Times New Roman"/>
          <w:sz w:val="24"/>
          <w:szCs w:val="24"/>
          <w:lang w:eastAsia="ar-SA"/>
        </w:rPr>
      </w:pPr>
      <w:r w:rsidRPr="00E721E2">
        <w:rPr>
          <w:rFonts w:ascii="Times New Roman" w:eastAsia="Calibri" w:hAnsi="Times New Roman" w:cs="Times New Roman"/>
          <w:sz w:val="24"/>
          <w:szCs w:val="24"/>
          <w:lang w:eastAsia="ar-SA"/>
        </w:rPr>
        <w:t>KOPRIVNIČKO-KRIŽEVAČKE ŽUPANIJE</w:t>
      </w:r>
    </w:p>
    <w:p w14:paraId="42325421" w14:textId="77777777" w:rsidR="00A426E4" w:rsidRDefault="00A426E4" w:rsidP="0086443A">
      <w:pPr>
        <w:suppressAutoHyphens/>
        <w:spacing w:after="0" w:line="240" w:lineRule="auto"/>
        <w:jc w:val="both"/>
        <w:rPr>
          <w:rFonts w:ascii="Times New Roman" w:eastAsia="Calibri" w:hAnsi="Times New Roman" w:cs="Times New Roman"/>
          <w:sz w:val="24"/>
          <w:szCs w:val="24"/>
          <w:lang w:eastAsia="ar-SA"/>
        </w:rPr>
      </w:pPr>
    </w:p>
    <w:p w14:paraId="476F868F" w14:textId="77777777" w:rsidR="00635CFC" w:rsidRPr="00E721E2" w:rsidRDefault="00635CFC" w:rsidP="0086443A">
      <w:pPr>
        <w:suppressAutoHyphens/>
        <w:spacing w:after="0" w:line="240" w:lineRule="auto"/>
        <w:jc w:val="both"/>
        <w:rPr>
          <w:rFonts w:ascii="Times New Roman" w:eastAsia="Calibri" w:hAnsi="Times New Roman" w:cs="Times New Roman"/>
          <w:sz w:val="24"/>
          <w:szCs w:val="24"/>
          <w:lang w:eastAsia="ar-SA"/>
        </w:rPr>
      </w:pPr>
    </w:p>
    <w:p w14:paraId="6A55ADF0" w14:textId="41F278CD" w:rsidR="0086443A" w:rsidRPr="00E721E2" w:rsidRDefault="009C2188" w:rsidP="0086443A">
      <w:pPr>
        <w:spacing w:after="0" w:line="240" w:lineRule="auto"/>
        <w:jc w:val="both"/>
        <w:rPr>
          <w:rFonts w:ascii="Times New Roman" w:hAnsi="Times New Roman" w:cs="Times New Roman"/>
          <w:sz w:val="24"/>
          <w:szCs w:val="24"/>
          <w:shd w:val="clear" w:color="auto" w:fill="FFFFFF"/>
        </w:rPr>
      </w:pPr>
      <w:r w:rsidRPr="00E721E2">
        <w:rPr>
          <w:rFonts w:ascii="Times New Roman" w:hAnsi="Times New Roman" w:cs="Times New Roman"/>
          <w:sz w:val="24"/>
          <w:szCs w:val="24"/>
          <w:shd w:val="clear" w:color="auto" w:fill="FFFFFF"/>
        </w:rPr>
        <w:t>KLASA: 021-06/2</w:t>
      </w:r>
      <w:r w:rsidR="0097659D">
        <w:rPr>
          <w:rFonts w:ascii="Times New Roman" w:hAnsi="Times New Roman" w:cs="Times New Roman"/>
          <w:sz w:val="24"/>
          <w:szCs w:val="24"/>
          <w:shd w:val="clear" w:color="auto" w:fill="FFFFFF"/>
        </w:rPr>
        <w:t>5</w:t>
      </w:r>
      <w:r w:rsidRPr="00E721E2">
        <w:rPr>
          <w:rFonts w:ascii="Times New Roman" w:hAnsi="Times New Roman" w:cs="Times New Roman"/>
          <w:sz w:val="24"/>
          <w:szCs w:val="24"/>
          <w:shd w:val="clear" w:color="auto" w:fill="FFFFFF"/>
        </w:rPr>
        <w:t>-01/</w:t>
      </w:r>
      <w:r w:rsidR="00290DB9">
        <w:rPr>
          <w:rFonts w:ascii="Times New Roman" w:hAnsi="Times New Roman" w:cs="Times New Roman"/>
          <w:sz w:val="24"/>
          <w:szCs w:val="24"/>
          <w:shd w:val="clear" w:color="auto" w:fill="FFFFFF"/>
        </w:rPr>
        <w:t>2</w:t>
      </w:r>
      <w:r w:rsidRPr="00E721E2">
        <w:rPr>
          <w:rFonts w:ascii="Times New Roman" w:hAnsi="Times New Roman" w:cs="Times New Roman"/>
          <w:sz w:val="24"/>
          <w:szCs w:val="24"/>
          <w:shd w:val="clear" w:color="auto" w:fill="FFFFFF"/>
        </w:rPr>
        <w:t xml:space="preserve">                                                 PREDSJEDNIK UPRAVOG VIJEĆA:</w:t>
      </w:r>
    </w:p>
    <w:p w14:paraId="772E8CDE" w14:textId="7EF5308A" w:rsidR="009C2188" w:rsidRPr="00E721E2" w:rsidRDefault="009C2188" w:rsidP="0086443A">
      <w:pPr>
        <w:spacing w:after="0" w:line="240" w:lineRule="auto"/>
        <w:jc w:val="both"/>
        <w:rPr>
          <w:rFonts w:ascii="Times New Roman" w:hAnsi="Times New Roman" w:cs="Times New Roman"/>
          <w:sz w:val="24"/>
          <w:szCs w:val="24"/>
          <w:shd w:val="clear" w:color="auto" w:fill="FFFFFF"/>
        </w:rPr>
      </w:pPr>
      <w:r w:rsidRPr="00E721E2">
        <w:rPr>
          <w:rFonts w:ascii="Times New Roman" w:hAnsi="Times New Roman" w:cs="Times New Roman"/>
          <w:sz w:val="24"/>
          <w:szCs w:val="24"/>
          <w:shd w:val="clear" w:color="auto" w:fill="FFFFFF"/>
        </w:rPr>
        <w:t>URBROJ: 2137-114-2</w:t>
      </w:r>
      <w:r w:rsidR="0097659D">
        <w:rPr>
          <w:rFonts w:ascii="Times New Roman" w:hAnsi="Times New Roman" w:cs="Times New Roman"/>
          <w:sz w:val="24"/>
          <w:szCs w:val="24"/>
          <w:shd w:val="clear" w:color="auto" w:fill="FFFFFF"/>
        </w:rPr>
        <w:t>5</w:t>
      </w:r>
      <w:r w:rsidRPr="00E721E2">
        <w:rPr>
          <w:rFonts w:ascii="Times New Roman" w:hAnsi="Times New Roman" w:cs="Times New Roman"/>
          <w:sz w:val="24"/>
          <w:szCs w:val="24"/>
          <w:shd w:val="clear" w:color="auto" w:fill="FFFFFF"/>
        </w:rPr>
        <w:t>-</w:t>
      </w:r>
      <w:r w:rsidR="007D08E8">
        <w:rPr>
          <w:rFonts w:ascii="Times New Roman" w:hAnsi="Times New Roman" w:cs="Times New Roman"/>
          <w:sz w:val="24"/>
          <w:szCs w:val="24"/>
          <w:shd w:val="clear" w:color="auto" w:fill="FFFFFF"/>
        </w:rPr>
        <w:t>3</w:t>
      </w:r>
      <w:r w:rsidRPr="00E721E2">
        <w:rPr>
          <w:rFonts w:ascii="Times New Roman" w:hAnsi="Times New Roman" w:cs="Times New Roman"/>
          <w:sz w:val="24"/>
          <w:szCs w:val="24"/>
          <w:shd w:val="clear" w:color="auto" w:fill="FFFFFF"/>
        </w:rPr>
        <w:t xml:space="preserve">                                                                   Darko Masnec</w:t>
      </w:r>
    </w:p>
    <w:p w14:paraId="5E9C1CA4" w14:textId="77777777" w:rsidR="009C2188" w:rsidRDefault="009C2188" w:rsidP="0086443A">
      <w:pPr>
        <w:spacing w:after="0" w:line="240" w:lineRule="auto"/>
        <w:jc w:val="both"/>
        <w:rPr>
          <w:rFonts w:ascii="Times New Roman" w:hAnsi="Times New Roman" w:cs="Times New Roman"/>
          <w:sz w:val="24"/>
          <w:szCs w:val="24"/>
          <w:shd w:val="clear" w:color="auto" w:fill="FFFFFF"/>
        </w:rPr>
      </w:pPr>
    </w:p>
    <w:p w14:paraId="1813EAF2" w14:textId="77777777" w:rsidR="00BD76F3" w:rsidRDefault="00BD76F3" w:rsidP="0086443A">
      <w:pPr>
        <w:spacing w:after="0" w:line="240" w:lineRule="auto"/>
        <w:jc w:val="both"/>
        <w:rPr>
          <w:rFonts w:ascii="Times New Roman" w:hAnsi="Times New Roman" w:cs="Times New Roman"/>
          <w:sz w:val="24"/>
          <w:szCs w:val="24"/>
          <w:shd w:val="clear" w:color="auto" w:fill="FFFFFF"/>
        </w:rPr>
      </w:pPr>
    </w:p>
    <w:p w14:paraId="7189E7C8" w14:textId="77777777" w:rsidR="00BD76F3" w:rsidRDefault="00BD76F3" w:rsidP="0086443A">
      <w:pPr>
        <w:spacing w:after="0" w:line="240" w:lineRule="auto"/>
        <w:jc w:val="both"/>
        <w:rPr>
          <w:rFonts w:ascii="Times New Roman" w:hAnsi="Times New Roman" w:cs="Times New Roman"/>
          <w:sz w:val="24"/>
          <w:szCs w:val="24"/>
          <w:shd w:val="clear" w:color="auto" w:fill="FFFFFF"/>
        </w:rPr>
      </w:pPr>
    </w:p>
    <w:p w14:paraId="2834A30D" w14:textId="77777777" w:rsidR="00BD76F3" w:rsidRDefault="00BD76F3" w:rsidP="0086443A">
      <w:pPr>
        <w:spacing w:after="0" w:line="240" w:lineRule="auto"/>
        <w:jc w:val="both"/>
        <w:rPr>
          <w:rFonts w:ascii="Times New Roman" w:hAnsi="Times New Roman" w:cs="Times New Roman"/>
          <w:sz w:val="24"/>
          <w:szCs w:val="24"/>
          <w:shd w:val="clear" w:color="auto" w:fill="FFFFFF"/>
        </w:rPr>
      </w:pPr>
    </w:p>
    <w:p w14:paraId="2CA09B0C" w14:textId="77777777" w:rsidR="00BD76F3" w:rsidRDefault="00BD76F3" w:rsidP="0086443A">
      <w:pPr>
        <w:spacing w:after="0" w:line="240" w:lineRule="auto"/>
        <w:jc w:val="both"/>
        <w:rPr>
          <w:rFonts w:ascii="Times New Roman" w:hAnsi="Times New Roman" w:cs="Times New Roman"/>
          <w:sz w:val="24"/>
          <w:szCs w:val="24"/>
          <w:shd w:val="clear" w:color="auto" w:fill="FFFFFF"/>
        </w:rPr>
      </w:pPr>
    </w:p>
    <w:p w14:paraId="346126D8"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6053C299"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00D0EDCD"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22046E24"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3175DB66"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5E2A15AE"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6FA683F2"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20270F5F"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3B35DE6F"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3800E6D6"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63012D7A"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46E34865"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4954DB4F"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3CC1B4B5"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6B346F65" w14:textId="77777777" w:rsidR="00191B90" w:rsidRDefault="00191B90" w:rsidP="0086443A">
      <w:pPr>
        <w:spacing w:after="0" w:line="240" w:lineRule="auto"/>
        <w:jc w:val="both"/>
        <w:rPr>
          <w:rFonts w:ascii="Times New Roman" w:hAnsi="Times New Roman" w:cs="Times New Roman"/>
          <w:sz w:val="24"/>
          <w:szCs w:val="24"/>
          <w:shd w:val="clear" w:color="auto" w:fill="FFFFFF"/>
        </w:rPr>
      </w:pPr>
    </w:p>
    <w:p w14:paraId="59FE8074" w14:textId="77777777" w:rsidR="00BD76F3" w:rsidRPr="00E721E2" w:rsidRDefault="00BD76F3" w:rsidP="0086443A">
      <w:pPr>
        <w:spacing w:after="0" w:line="240" w:lineRule="auto"/>
        <w:jc w:val="both"/>
        <w:rPr>
          <w:rFonts w:ascii="Times New Roman" w:hAnsi="Times New Roman" w:cs="Times New Roman"/>
          <w:sz w:val="24"/>
          <w:szCs w:val="24"/>
          <w:shd w:val="clear" w:color="auto" w:fill="FFFFFF"/>
        </w:rPr>
      </w:pPr>
    </w:p>
    <w:p w14:paraId="68EA345C" w14:textId="77777777" w:rsidR="009C2188" w:rsidRDefault="009C2188" w:rsidP="0086443A">
      <w:pPr>
        <w:spacing w:after="0" w:line="240" w:lineRule="auto"/>
        <w:jc w:val="both"/>
        <w:rPr>
          <w:rFonts w:ascii="Times New Roman" w:hAnsi="Times New Roman" w:cs="Times New Roman"/>
          <w:sz w:val="24"/>
          <w:szCs w:val="24"/>
          <w:shd w:val="clear" w:color="auto" w:fill="FFFFFF"/>
        </w:rPr>
      </w:pPr>
    </w:p>
    <w:p w14:paraId="6F301BBD" w14:textId="659F7F94" w:rsidR="00F275E3" w:rsidRPr="00E721E2" w:rsidRDefault="00E70372" w:rsidP="002F3E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w:t>
      </w:r>
      <w:r w:rsidR="00F275E3" w:rsidRPr="00E721E2">
        <w:rPr>
          <w:rFonts w:ascii="Times New Roman" w:hAnsi="Times New Roman" w:cs="Times New Roman"/>
          <w:b/>
          <w:bCs/>
          <w:sz w:val="24"/>
          <w:szCs w:val="24"/>
        </w:rPr>
        <w:t>ORA REGIONALNA RAZVOJNA AGENCIJA</w:t>
      </w:r>
    </w:p>
    <w:p w14:paraId="7161F769" w14:textId="47B955B7" w:rsidR="00F275E3" w:rsidRPr="00E721E2" w:rsidRDefault="00F275E3" w:rsidP="00F275E3">
      <w:pPr>
        <w:spacing w:after="0" w:line="240" w:lineRule="auto"/>
        <w:jc w:val="center"/>
        <w:rPr>
          <w:rFonts w:ascii="Times New Roman" w:hAnsi="Times New Roman" w:cs="Times New Roman"/>
          <w:b/>
          <w:bCs/>
          <w:sz w:val="24"/>
          <w:szCs w:val="24"/>
        </w:rPr>
      </w:pPr>
      <w:r w:rsidRPr="00E721E2">
        <w:rPr>
          <w:rFonts w:ascii="Times New Roman" w:hAnsi="Times New Roman" w:cs="Times New Roman"/>
          <w:b/>
          <w:bCs/>
          <w:sz w:val="24"/>
          <w:szCs w:val="24"/>
        </w:rPr>
        <w:t>KOPRIVNIČKO-KRIŽEVAČKE ŽUPANIJE</w:t>
      </w:r>
    </w:p>
    <w:p w14:paraId="1E96F91D" w14:textId="77777777" w:rsidR="00F275E3" w:rsidRPr="00E721E2" w:rsidRDefault="00F275E3" w:rsidP="00F275E3">
      <w:pPr>
        <w:spacing w:after="0" w:line="240" w:lineRule="auto"/>
        <w:jc w:val="center"/>
        <w:rPr>
          <w:rFonts w:ascii="Times New Roman" w:hAnsi="Times New Roman" w:cs="Times New Roman"/>
          <w:b/>
          <w:bCs/>
          <w:sz w:val="24"/>
          <w:szCs w:val="24"/>
        </w:rPr>
      </w:pPr>
    </w:p>
    <w:p w14:paraId="3B5F0B00" w14:textId="77777777" w:rsidR="00F275E3" w:rsidRPr="00E721E2" w:rsidRDefault="00F275E3" w:rsidP="00F275E3">
      <w:pPr>
        <w:spacing w:after="0" w:line="240" w:lineRule="auto"/>
        <w:jc w:val="center"/>
        <w:rPr>
          <w:rFonts w:ascii="Times New Roman" w:hAnsi="Times New Roman" w:cs="Times New Roman"/>
          <w:b/>
          <w:bCs/>
          <w:sz w:val="24"/>
          <w:szCs w:val="24"/>
        </w:rPr>
      </w:pPr>
    </w:p>
    <w:p w14:paraId="554F204B" w14:textId="5C616A31" w:rsidR="00F275E3" w:rsidRPr="00E721E2" w:rsidRDefault="00F275E3" w:rsidP="00F275E3">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O</w:t>
      </w:r>
      <w:r w:rsidR="00DA3EAC">
        <w:rPr>
          <w:rFonts w:ascii="Times New Roman" w:hAnsi="Times New Roman" w:cs="Times New Roman"/>
          <w:sz w:val="24"/>
          <w:szCs w:val="24"/>
        </w:rPr>
        <w:t xml:space="preserve">vo </w:t>
      </w:r>
      <w:r w:rsidR="00DA3EAC">
        <w:rPr>
          <w:rFonts w:ascii="Times New Roman" w:eastAsia="Calibri" w:hAnsi="Times New Roman" w:cs="Times New Roman"/>
          <w:sz w:val="24"/>
          <w:szCs w:val="24"/>
          <w:lang w:eastAsia="ar-SA"/>
        </w:rPr>
        <w:t xml:space="preserve">Izvješće o radu i </w:t>
      </w:r>
      <w:r w:rsidR="00DA3EAC" w:rsidRPr="00E721E2">
        <w:rPr>
          <w:rFonts w:ascii="Times New Roman" w:eastAsia="Calibri" w:hAnsi="Times New Roman" w:cs="Times New Roman"/>
          <w:sz w:val="24"/>
          <w:szCs w:val="24"/>
          <w:lang w:eastAsia="ar-SA"/>
        </w:rPr>
        <w:t>izvršenju Financijskog plana PORE Regionalne razvojne agencije Koprivničko-križevačke županije za razdoblje od 1. siječnja do 3</w:t>
      </w:r>
      <w:r w:rsidR="00DA3EAC">
        <w:rPr>
          <w:rFonts w:ascii="Times New Roman" w:eastAsia="Calibri" w:hAnsi="Times New Roman" w:cs="Times New Roman"/>
          <w:sz w:val="24"/>
          <w:szCs w:val="24"/>
          <w:lang w:eastAsia="ar-SA"/>
        </w:rPr>
        <w:t>1</w:t>
      </w:r>
      <w:r w:rsidR="00DA3EAC" w:rsidRPr="00E721E2">
        <w:rPr>
          <w:rFonts w:ascii="Times New Roman" w:eastAsia="Calibri" w:hAnsi="Times New Roman" w:cs="Times New Roman"/>
          <w:sz w:val="24"/>
          <w:szCs w:val="24"/>
          <w:lang w:eastAsia="ar-SA"/>
        </w:rPr>
        <w:t xml:space="preserve">. </w:t>
      </w:r>
      <w:r w:rsidR="00DA3EAC">
        <w:rPr>
          <w:rFonts w:ascii="Times New Roman" w:eastAsia="Calibri" w:hAnsi="Times New Roman" w:cs="Times New Roman"/>
          <w:sz w:val="24"/>
          <w:szCs w:val="24"/>
          <w:lang w:eastAsia="ar-SA"/>
        </w:rPr>
        <w:t>prosinca</w:t>
      </w:r>
      <w:r w:rsidR="00DA3EAC" w:rsidRPr="00E721E2">
        <w:rPr>
          <w:rFonts w:ascii="Times New Roman" w:eastAsia="Calibri" w:hAnsi="Times New Roman" w:cs="Times New Roman"/>
          <w:sz w:val="24"/>
          <w:szCs w:val="24"/>
          <w:lang w:eastAsia="ar-SA"/>
        </w:rPr>
        <w:t xml:space="preserve"> 2024. godine</w:t>
      </w:r>
      <w:r w:rsidR="00DA3EAC">
        <w:rPr>
          <w:rFonts w:ascii="Times New Roman" w:eastAsia="Calibri" w:hAnsi="Times New Roman" w:cs="Times New Roman"/>
          <w:sz w:val="24"/>
          <w:szCs w:val="24"/>
          <w:lang w:eastAsia="ar-SA"/>
        </w:rPr>
        <w:t xml:space="preserve"> </w:t>
      </w:r>
      <w:r w:rsidRPr="00E721E2">
        <w:rPr>
          <w:rFonts w:ascii="Times New Roman" w:hAnsi="Times New Roman" w:cs="Times New Roman"/>
          <w:sz w:val="24"/>
          <w:szCs w:val="24"/>
        </w:rPr>
        <w:t>objavljen</w:t>
      </w:r>
      <w:r w:rsidR="00DA3EAC">
        <w:rPr>
          <w:rFonts w:ascii="Times New Roman" w:hAnsi="Times New Roman" w:cs="Times New Roman"/>
          <w:sz w:val="24"/>
          <w:szCs w:val="24"/>
        </w:rPr>
        <w:t>o</w:t>
      </w:r>
      <w:r w:rsidRPr="00E721E2">
        <w:rPr>
          <w:rFonts w:ascii="Times New Roman" w:hAnsi="Times New Roman" w:cs="Times New Roman"/>
          <w:sz w:val="24"/>
          <w:szCs w:val="24"/>
        </w:rPr>
        <w:t xml:space="preserve"> je na oglasnoj ploči PORE Regionalne razvojne agencije Koprivničko-križevačke županije dana ____________ 202</w:t>
      </w:r>
      <w:r w:rsidR="00290DB9">
        <w:rPr>
          <w:rFonts w:ascii="Times New Roman" w:hAnsi="Times New Roman" w:cs="Times New Roman"/>
          <w:sz w:val="24"/>
          <w:szCs w:val="24"/>
        </w:rPr>
        <w:t>5</w:t>
      </w:r>
      <w:r w:rsidRPr="00E721E2">
        <w:rPr>
          <w:rFonts w:ascii="Times New Roman" w:hAnsi="Times New Roman" w:cs="Times New Roman"/>
          <w:sz w:val="24"/>
          <w:szCs w:val="24"/>
        </w:rPr>
        <w:t>. godine te je stupi</w:t>
      </w:r>
      <w:r w:rsidR="00290DB9">
        <w:rPr>
          <w:rFonts w:ascii="Times New Roman" w:hAnsi="Times New Roman" w:cs="Times New Roman"/>
          <w:sz w:val="24"/>
          <w:szCs w:val="24"/>
        </w:rPr>
        <w:t>l</w:t>
      </w:r>
      <w:r w:rsidRPr="00E721E2">
        <w:rPr>
          <w:rFonts w:ascii="Times New Roman" w:hAnsi="Times New Roman" w:cs="Times New Roman"/>
          <w:sz w:val="24"/>
          <w:szCs w:val="24"/>
        </w:rPr>
        <w:t>o na snagu dana ______________ 202</w:t>
      </w:r>
      <w:r w:rsidR="00290DB9">
        <w:rPr>
          <w:rFonts w:ascii="Times New Roman" w:hAnsi="Times New Roman" w:cs="Times New Roman"/>
          <w:sz w:val="24"/>
          <w:szCs w:val="24"/>
        </w:rPr>
        <w:t>5</w:t>
      </w:r>
      <w:r w:rsidRPr="00E721E2">
        <w:rPr>
          <w:rFonts w:ascii="Times New Roman" w:hAnsi="Times New Roman" w:cs="Times New Roman"/>
          <w:sz w:val="24"/>
          <w:szCs w:val="24"/>
        </w:rPr>
        <w:t>. godine.</w:t>
      </w:r>
    </w:p>
    <w:p w14:paraId="4ABB8705" w14:textId="77777777" w:rsidR="00F275E3" w:rsidRPr="00E721E2" w:rsidRDefault="00F275E3" w:rsidP="00F275E3">
      <w:pPr>
        <w:spacing w:after="0" w:line="240" w:lineRule="auto"/>
        <w:jc w:val="both"/>
        <w:rPr>
          <w:rFonts w:ascii="Times New Roman" w:hAnsi="Times New Roman" w:cs="Times New Roman"/>
          <w:sz w:val="24"/>
          <w:szCs w:val="24"/>
        </w:rPr>
      </w:pPr>
    </w:p>
    <w:p w14:paraId="4C333886" w14:textId="77777777" w:rsidR="00F275E3" w:rsidRPr="00E721E2" w:rsidRDefault="00F275E3" w:rsidP="00F275E3">
      <w:pPr>
        <w:spacing w:after="0" w:line="240" w:lineRule="auto"/>
        <w:jc w:val="both"/>
        <w:rPr>
          <w:rFonts w:ascii="Times New Roman" w:hAnsi="Times New Roman" w:cs="Times New Roman"/>
          <w:sz w:val="24"/>
          <w:szCs w:val="24"/>
        </w:rPr>
      </w:pPr>
    </w:p>
    <w:p w14:paraId="44F499C2" w14:textId="77777777" w:rsidR="00F275E3" w:rsidRPr="00E721E2" w:rsidRDefault="00F275E3" w:rsidP="00F275E3">
      <w:pPr>
        <w:spacing w:after="0" w:line="240" w:lineRule="auto"/>
        <w:jc w:val="both"/>
        <w:rPr>
          <w:rFonts w:ascii="Times New Roman" w:hAnsi="Times New Roman" w:cs="Times New Roman"/>
          <w:sz w:val="24"/>
          <w:szCs w:val="24"/>
        </w:rPr>
      </w:pPr>
    </w:p>
    <w:p w14:paraId="5A663E24" w14:textId="1F239009" w:rsidR="00F275E3" w:rsidRPr="00E721E2" w:rsidRDefault="00F275E3" w:rsidP="00F275E3">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 xml:space="preserve">                                                                                                  </w:t>
      </w:r>
      <w:r w:rsidR="00F66E76" w:rsidRPr="00E721E2">
        <w:rPr>
          <w:rFonts w:ascii="Times New Roman" w:hAnsi="Times New Roman" w:cs="Times New Roman"/>
          <w:sz w:val="24"/>
          <w:szCs w:val="24"/>
        </w:rPr>
        <w:t>RAVNATELJICA</w:t>
      </w:r>
      <w:r w:rsidRPr="00E721E2">
        <w:rPr>
          <w:rFonts w:ascii="Times New Roman" w:hAnsi="Times New Roman" w:cs="Times New Roman"/>
          <w:sz w:val="24"/>
          <w:szCs w:val="24"/>
        </w:rPr>
        <w:t>:</w:t>
      </w:r>
    </w:p>
    <w:p w14:paraId="55453C58" w14:textId="44E9B484" w:rsidR="00F275E3" w:rsidRPr="00E721E2" w:rsidRDefault="00F275E3" w:rsidP="00F275E3">
      <w:pPr>
        <w:spacing w:after="0" w:line="240" w:lineRule="auto"/>
        <w:jc w:val="both"/>
        <w:rPr>
          <w:rFonts w:ascii="Times New Roman" w:hAnsi="Times New Roman" w:cs="Times New Roman"/>
          <w:sz w:val="24"/>
          <w:szCs w:val="24"/>
        </w:rPr>
      </w:pPr>
      <w:r w:rsidRPr="00E721E2">
        <w:rPr>
          <w:rFonts w:ascii="Times New Roman" w:hAnsi="Times New Roman" w:cs="Times New Roman"/>
          <w:sz w:val="24"/>
          <w:szCs w:val="24"/>
        </w:rPr>
        <w:t xml:space="preserve">                                                                                                       Melita Birčić </w:t>
      </w:r>
    </w:p>
    <w:sectPr w:rsidR="00F275E3" w:rsidRPr="00E721E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B4E8" w14:textId="77777777" w:rsidR="00FE4FAB" w:rsidRDefault="00FE4FAB" w:rsidP="00657E9A">
      <w:pPr>
        <w:spacing w:after="0" w:line="240" w:lineRule="auto"/>
      </w:pPr>
      <w:r>
        <w:separator/>
      </w:r>
    </w:p>
  </w:endnote>
  <w:endnote w:type="continuationSeparator" w:id="0">
    <w:p w14:paraId="4F52D8B5" w14:textId="77777777" w:rsidR="00FE4FAB" w:rsidRDefault="00FE4FAB" w:rsidP="0065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026B" w14:textId="21E25813" w:rsidR="00C7372F" w:rsidRDefault="00C7372F">
    <w:pPr>
      <w:pStyle w:val="Footer"/>
      <w:jc w:val="right"/>
    </w:pPr>
  </w:p>
  <w:p w14:paraId="25840E86" w14:textId="77777777" w:rsidR="00C7372F" w:rsidRDefault="00C73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05113"/>
      <w:docPartObj>
        <w:docPartGallery w:val="Page Numbers (Bottom of Page)"/>
        <w:docPartUnique/>
      </w:docPartObj>
    </w:sdtPr>
    <w:sdtEndPr/>
    <w:sdtContent>
      <w:p w14:paraId="0B3B53E7" w14:textId="73363C95" w:rsidR="00217359" w:rsidRDefault="00217359">
        <w:pPr>
          <w:pStyle w:val="Footer"/>
          <w:jc w:val="right"/>
        </w:pPr>
        <w:r>
          <w:fldChar w:fldCharType="begin"/>
        </w:r>
        <w:r>
          <w:instrText>PAGE   \* MERGEFORMAT</w:instrText>
        </w:r>
        <w:r>
          <w:fldChar w:fldCharType="separate"/>
        </w:r>
        <w:r>
          <w:t>2</w:t>
        </w:r>
        <w:r>
          <w:fldChar w:fldCharType="end"/>
        </w:r>
      </w:p>
    </w:sdtContent>
  </w:sdt>
  <w:p w14:paraId="11A77D72" w14:textId="77777777" w:rsidR="00217359" w:rsidRDefault="00217359" w:rsidP="002173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EF79" w14:textId="77777777" w:rsidR="00FE4FAB" w:rsidRDefault="00FE4FAB" w:rsidP="00657E9A">
      <w:pPr>
        <w:spacing w:after="0" w:line="240" w:lineRule="auto"/>
      </w:pPr>
      <w:r>
        <w:separator/>
      </w:r>
    </w:p>
  </w:footnote>
  <w:footnote w:type="continuationSeparator" w:id="0">
    <w:p w14:paraId="61644309" w14:textId="77777777" w:rsidR="00FE4FAB" w:rsidRDefault="00FE4FAB" w:rsidP="00657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C46"/>
    <w:multiLevelType w:val="hybridMultilevel"/>
    <w:tmpl w:val="5FA808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DBB7260"/>
    <w:multiLevelType w:val="hybridMultilevel"/>
    <w:tmpl w:val="1CDED80A"/>
    <w:lvl w:ilvl="0" w:tplc="F50674E0">
      <w:start w:val="36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EF20ED2"/>
    <w:multiLevelType w:val="multilevel"/>
    <w:tmpl w:val="84702CC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62C26"/>
    <w:multiLevelType w:val="multilevel"/>
    <w:tmpl w:val="B56A44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6778F1"/>
    <w:multiLevelType w:val="hybridMultilevel"/>
    <w:tmpl w:val="FA926D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7C7B54"/>
    <w:multiLevelType w:val="multilevel"/>
    <w:tmpl w:val="2C8C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03A89"/>
    <w:multiLevelType w:val="hybridMultilevel"/>
    <w:tmpl w:val="5FA808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C51C3A"/>
    <w:multiLevelType w:val="hybridMultilevel"/>
    <w:tmpl w:val="33081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2CE6000"/>
    <w:multiLevelType w:val="hybridMultilevel"/>
    <w:tmpl w:val="3F0AAEA4"/>
    <w:lvl w:ilvl="0" w:tplc="0784D51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D5B95"/>
    <w:multiLevelType w:val="hybridMultilevel"/>
    <w:tmpl w:val="70D4FB8A"/>
    <w:lvl w:ilvl="0" w:tplc="C50611AC">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DC943E0"/>
    <w:multiLevelType w:val="hybridMultilevel"/>
    <w:tmpl w:val="30CC51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F5474BC"/>
    <w:multiLevelType w:val="multilevel"/>
    <w:tmpl w:val="4DB483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133E30"/>
    <w:multiLevelType w:val="multilevel"/>
    <w:tmpl w:val="E534C32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88483D"/>
    <w:multiLevelType w:val="multilevel"/>
    <w:tmpl w:val="3A00919E"/>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751AC"/>
    <w:multiLevelType w:val="hybridMultilevel"/>
    <w:tmpl w:val="4BD6BEB6"/>
    <w:lvl w:ilvl="0" w:tplc="4ED23B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F75D4E"/>
    <w:multiLevelType w:val="hybridMultilevel"/>
    <w:tmpl w:val="58423DBA"/>
    <w:lvl w:ilvl="0" w:tplc="953488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C237C1"/>
    <w:multiLevelType w:val="hybridMultilevel"/>
    <w:tmpl w:val="3CEE080E"/>
    <w:lvl w:ilvl="0" w:tplc="0784D51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15443"/>
    <w:multiLevelType w:val="hybridMultilevel"/>
    <w:tmpl w:val="BDA848F4"/>
    <w:lvl w:ilvl="0" w:tplc="0784D51E">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691A21"/>
    <w:multiLevelType w:val="hybridMultilevel"/>
    <w:tmpl w:val="EAD4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F6C8D"/>
    <w:multiLevelType w:val="hybridMultilevel"/>
    <w:tmpl w:val="56489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5AD6094"/>
    <w:multiLevelType w:val="hybridMultilevel"/>
    <w:tmpl w:val="5D108524"/>
    <w:lvl w:ilvl="0" w:tplc="1B5846E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320920"/>
    <w:multiLevelType w:val="hybridMultilevel"/>
    <w:tmpl w:val="511AE1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0F52B6B"/>
    <w:multiLevelType w:val="hybridMultilevel"/>
    <w:tmpl w:val="F28EE532"/>
    <w:lvl w:ilvl="0" w:tplc="F4BA4A76">
      <w:start w:val="2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5B5782F"/>
    <w:multiLevelType w:val="hybridMultilevel"/>
    <w:tmpl w:val="840E7F06"/>
    <w:lvl w:ilvl="0" w:tplc="6658976E">
      <w:start w:val="3"/>
      <w:numFmt w:val="bullet"/>
      <w:lvlText w:val="-"/>
      <w:lvlJc w:val="left"/>
      <w:pPr>
        <w:ind w:left="720" w:hanging="360"/>
      </w:pPr>
      <w:rPr>
        <w:rFonts w:ascii="Times New Roman" w:eastAsia="Times New Roman" w:hAnsi="Times New Roman" w:cs="Times New Roman" w:hint="default"/>
        <w:color w:val="auto"/>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6CF3F92"/>
    <w:multiLevelType w:val="hybridMultilevel"/>
    <w:tmpl w:val="F6A49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8897056"/>
    <w:multiLevelType w:val="hybridMultilevel"/>
    <w:tmpl w:val="3B1C174E"/>
    <w:lvl w:ilvl="0" w:tplc="0784D5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6797">
    <w:abstractNumId w:val="14"/>
  </w:num>
  <w:num w:numId="2" w16cid:durableId="1169639490">
    <w:abstractNumId w:val="1"/>
  </w:num>
  <w:num w:numId="3" w16cid:durableId="988359073">
    <w:abstractNumId w:val="11"/>
  </w:num>
  <w:num w:numId="4" w16cid:durableId="545681938">
    <w:abstractNumId w:val="3"/>
  </w:num>
  <w:num w:numId="5" w16cid:durableId="1724867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556866">
    <w:abstractNumId w:val="6"/>
  </w:num>
  <w:num w:numId="7" w16cid:durableId="953096786">
    <w:abstractNumId w:val="0"/>
  </w:num>
  <w:num w:numId="8" w16cid:durableId="527958946">
    <w:abstractNumId w:val="9"/>
  </w:num>
  <w:num w:numId="9" w16cid:durableId="1025669525">
    <w:abstractNumId w:val="2"/>
  </w:num>
  <w:num w:numId="10" w16cid:durableId="2087410769">
    <w:abstractNumId w:val="18"/>
  </w:num>
  <w:num w:numId="11" w16cid:durableId="963005667">
    <w:abstractNumId w:val="4"/>
  </w:num>
  <w:num w:numId="12" w16cid:durableId="311373977">
    <w:abstractNumId w:val="23"/>
  </w:num>
  <w:num w:numId="13" w16cid:durableId="1511870915">
    <w:abstractNumId w:val="22"/>
  </w:num>
  <w:num w:numId="14" w16cid:durableId="2090077841">
    <w:abstractNumId w:val="25"/>
  </w:num>
  <w:num w:numId="15" w16cid:durableId="300159876">
    <w:abstractNumId w:val="12"/>
  </w:num>
  <w:num w:numId="16" w16cid:durableId="1449010383">
    <w:abstractNumId w:val="19"/>
  </w:num>
  <w:num w:numId="17" w16cid:durableId="1420446857">
    <w:abstractNumId w:val="17"/>
  </w:num>
  <w:num w:numId="18" w16cid:durableId="867376477">
    <w:abstractNumId w:val="7"/>
  </w:num>
  <w:num w:numId="19" w16cid:durableId="2080785008">
    <w:abstractNumId w:val="24"/>
  </w:num>
  <w:num w:numId="20" w16cid:durableId="1697074514">
    <w:abstractNumId w:val="13"/>
  </w:num>
  <w:num w:numId="21" w16cid:durableId="550651676">
    <w:abstractNumId w:val="16"/>
  </w:num>
  <w:num w:numId="22" w16cid:durableId="368798374">
    <w:abstractNumId w:val="8"/>
  </w:num>
  <w:num w:numId="23" w16cid:durableId="2040428065">
    <w:abstractNumId w:val="10"/>
  </w:num>
  <w:num w:numId="24" w16cid:durableId="540702514">
    <w:abstractNumId w:val="5"/>
  </w:num>
  <w:num w:numId="25" w16cid:durableId="1594585266">
    <w:abstractNumId w:val="21"/>
  </w:num>
  <w:num w:numId="26" w16cid:durableId="721251625">
    <w:abstractNumId w:val="20"/>
  </w:num>
  <w:num w:numId="27" w16cid:durableId="12879330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8"/>
    <w:rsid w:val="00002C4B"/>
    <w:rsid w:val="00004AD3"/>
    <w:rsid w:val="000071E8"/>
    <w:rsid w:val="00010794"/>
    <w:rsid w:val="00010B77"/>
    <w:rsid w:val="00016386"/>
    <w:rsid w:val="00017D36"/>
    <w:rsid w:val="0002046F"/>
    <w:rsid w:val="000228AA"/>
    <w:rsid w:val="00024391"/>
    <w:rsid w:val="0002622A"/>
    <w:rsid w:val="00026EBC"/>
    <w:rsid w:val="000275EF"/>
    <w:rsid w:val="00031722"/>
    <w:rsid w:val="000325D2"/>
    <w:rsid w:val="0003558F"/>
    <w:rsid w:val="00040758"/>
    <w:rsid w:val="00041252"/>
    <w:rsid w:val="00042258"/>
    <w:rsid w:val="000438D4"/>
    <w:rsid w:val="00046F89"/>
    <w:rsid w:val="00050A3A"/>
    <w:rsid w:val="00052648"/>
    <w:rsid w:val="0005407A"/>
    <w:rsid w:val="000663DA"/>
    <w:rsid w:val="0006653E"/>
    <w:rsid w:val="0006682A"/>
    <w:rsid w:val="000708CE"/>
    <w:rsid w:val="000746E1"/>
    <w:rsid w:val="00080C87"/>
    <w:rsid w:val="00083352"/>
    <w:rsid w:val="00092F69"/>
    <w:rsid w:val="00093E5D"/>
    <w:rsid w:val="000960D8"/>
    <w:rsid w:val="000A05EF"/>
    <w:rsid w:val="000A1195"/>
    <w:rsid w:val="000A3855"/>
    <w:rsid w:val="000A38F2"/>
    <w:rsid w:val="000A5F6F"/>
    <w:rsid w:val="000B1366"/>
    <w:rsid w:val="000B2404"/>
    <w:rsid w:val="000B44DF"/>
    <w:rsid w:val="000B7007"/>
    <w:rsid w:val="000C08A8"/>
    <w:rsid w:val="000C36D5"/>
    <w:rsid w:val="000C5685"/>
    <w:rsid w:val="000C7C07"/>
    <w:rsid w:val="000D3ADB"/>
    <w:rsid w:val="000D6AFD"/>
    <w:rsid w:val="000D70D9"/>
    <w:rsid w:val="000E201C"/>
    <w:rsid w:val="000E51CB"/>
    <w:rsid w:val="000E6FA9"/>
    <w:rsid w:val="000F059C"/>
    <w:rsid w:val="000F0C21"/>
    <w:rsid w:val="000F4A00"/>
    <w:rsid w:val="000F768E"/>
    <w:rsid w:val="000F76A8"/>
    <w:rsid w:val="00101724"/>
    <w:rsid w:val="00107B9F"/>
    <w:rsid w:val="001108F8"/>
    <w:rsid w:val="001121B2"/>
    <w:rsid w:val="00112D20"/>
    <w:rsid w:val="001141BA"/>
    <w:rsid w:val="00114F23"/>
    <w:rsid w:val="00123831"/>
    <w:rsid w:val="00131019"/>
    <w:rsid w:val="001322D9"/>
    <w:rsid w:val="00135B63"/>
    <w:rsid w:val="00143D83"/>
    <w:rsid w:val="00145FE2"/>
    <w:rsid w:val="00147A2F"/>
    <w:rsid w:val="00153B49"/>
    <w:rsid w:val="00160CE6"/>
    <w:rsid w:val="001625E6"/>
    <w:rsid w:val="00165B1F"/>
    <w:rsid w:val="00165F17"/>
    <w:rsid w:val="0016737E"/>
    <w:rsid w:val="00170FBD"/>
    <w:rsid w:val="00172C2C"/>
    <w:rsid w:val="00180063"/>
    <w:rsid w:val="0018785A"/>
    <w:rsid w:val="00191B90"/>
    <w:rsid w:val="00192049"/>
    <w:rsid w:val="001A1606"/>
    <w:rsid w:val="001A174A"/>
    <w:rsid w:val="001A22D1"/>
    <w:rsid w:val="001B73A8"/>
    <w:rsid w:val="001C55B7"/>
    <w:rsid w:val="001D0292"/>
    <w:rsid w:val="001D5521"/>
    <w:rsid w:val="001D6354"/>
    <w:rsid w:val="001D6C75"/>
    <w:rsid w:val="001D75D0"/>
    <w:rsid w:val="001D7B42"/>
    <w:rsid w:val="001E2F61"/>
    <w:rsid w:val="001E3659"/>
    <w:rsid w:val="001E37DF"/>
    <w:rsid w:val="001E56AC"/>
    <w:rsid w:val="001E6411"/>
    <w:rsid w:val="001E7AD8"/>
    <w:rsid w:val="001E7B75"/>
    <w:rsid w:val="001F19F3"/>
    <w:rsid w:val="001F32DC"/>
    <w:rsid w:val="001F3799"/>
    <w:rsid w:val="0020163C"/>
    <w:rsid w:val="00201BF2"/>
    <w:rsid w:val="0021113F"/>
    <w:rsid w:val="0021328C"/>
    <w:rsid w:val="00213F11"/>
    <w:rsid w:val="00214485"/>
    <w:rsid w:val="00217359"/>
    <w:rsid w:val="00220A53"/>
    <w:rsid w:val="002217BF"/>
    <w:rsid w:val="002223E2"/>
    <w:rsid w:val="002252DA"/>
    <w:rsid w:val="00225EFF"/>
    <w:rsid w:val="00237143"/>
    <w:rsid w:val="002412C4"/>
    <w:rsid w:val="00241F8B"/>
    <w:rsid w:val="00246006"/>
    <w:rsid w:val="00253F03"/>
    <w:rsid w:val="002541B1"/>
    <w:rsid w:val="00255722"/>
    <w:rsid w:val="00256358"/>
    <w:rsid w:val="00261033"/>
    <w:rsid w:val="002717DA"/>
    <w:rsid w:val="00273162"/>
    <w:rsid w:val="002776E4"/>
    <w:rsid w:val="002808BC"/>
    <w:rsid w:val="00282BA0"/>
    <w:rsid w:val="0028724F"/>
    <w:rsid w:val="00290643"/>
    <w:rsid w:val="00290C71"/>
    <w:rsid w:val="00290DB9"/>
    <w:rsid w:val="00295F15"/>
    <w:rsid w:val="00296147"/>
    <w:rsid w:val="002A3840"/>
    <w:rsid w:val="002A3AD1"/>
    <w:rsid w:val="002A626E"/>
    <w:rsid w:val="002B007C"/>
    <w:rsid w:val="002B14A1"/>
    <w:rsid w:val="002B4776"/>
    <w:rsid w:val="002B6789"/>
    <w:rsid w:val="002B6B9B"/>
    <w:rsid w:val="002C3147"/>
    <w:rsid w:val="002C5828"/>
    <w:rsid w:val="002D163C"/>
    <w:rsid w:val="002D26A7"/>
    <w:rsid w:val="002D356C"/>
    <w:rsid w:val="002E0EAB"/>
    <w:rsid w:val="002E3628"/>
    <w:rsid w:val="002F3EB5"/>
    <w:rsid w:val="00300931"/>
    <w:rsid w:val="003025E8"/>
    <w:rsid w:val="003063BC"/>
    <w:rsid w:val="00315587"/>
    <w:rsid w:val="003156D3"/>
    <w:rsid w:val="00316612"/>
    <w:rsid w:val="00324F76"/>
    <w:rsid w:val="00334C09"/>
    <w:rsid w:val="00335E45"/>
    <w:rsid w:val="00336C42"/>
    <w:rsid w:val="00337D8D"/>
    <w:rsid w:val="00340179"/>
    <w:rsid w:val="00346EAB"/>
    <w:rsid w:val="00347ABF"/>
    <w:rsid w:val="0035026C"/>
    <w:rsid w:val="003504A0"/>
    <w:rsid w:val="0035115C"/>
    <w:rsid w:val="00353B19"/>
    <w:rsid w:val="003544F7"/>
    <w:rsid w:val="003559A7"/>
    <w:rsid w:val="00356B27"/>
    <w:rsid w:val="00363DCA"/>
    <w:rsid w:val="00366858"/>
    <w:rsid w:val="00367EB7"/>
    <w:rsid w:val="00371AA1"/>
    <w:rsid w:val="00371FCF"/>
    <w:rsid w:val="003753C0"/>
    <w:rsid w:val="00377162"/>
    <w:rsid w:val="00377EAD"/>
    <w:rsid w:val="00381A95"/>
    <w:rsid w:val="00382ACB"/>
    <w:rsid w:val="0038470F"/>
    <w:rsid w:val="0038579B"/>
    <w:rsid w:val="00392610"/>
    <w:rsid w:val="003955D6"/>
    <w:rsid w:val="003A0568"/>
    <w:rsid w:val="003A2100"/>
    <w:rsid w:val="003A280D"/>
    <w:rsid w:val="003A6530"/>
    <w:rsid w:val="003B30E0"/>
    <w:rsid w:val="003B40EE"/>
    <w:rsid w:val="003B445C"/>
    <w:rsid w:val="003B7E9F"/>
    <w:rsid w:val="003C0FF8"/>
    <w:rsid w:val="003C1394"/>
    <w:rsid w:val="003C1D8B"/>
    <w:rsid w:val="003C35F5"/>
    <w:rsid w:val="003C4134"/>
    <w:rsid w:val="003C4F3A"/>
    <w:rsid w:val="003C52CD"/>
    <w:rsid w:val="003C7025"/>
    <w:rsid w:val="003D6543"/>
    <w:rsid w:val="003D6662"/>
    <w:rsid w:val="003E31DF"/>
    <w:rsid w:val="003E456B"/>
    <w:rsid w:val="003E78FC"/>
    <w:rsid w:val="003F2EAD"/>
    <w:rsid w:val="003F35D8"/>
    <w:rsid w:val="003F4581"/>
    <w:rsid w:val="003F52F9"/>
    <w:rsid w:val="003F5D2E"/>
    <w:rsid w:val="003F74B9"/>
    <w:rsid w:val="004027B2"/>
    <w:rsid w:val="00403A61"/>
    <w:rsid w:val="004103BA"/>
    <w:rsid w:val="00411703"/>
    <w:rsid w:val="00413EE5"/>
    <w:rsid w:val="00414AC2"/>
    <w:rsid w:val="00423F2B"/>
    <w:rsid w:val="00424E01"/>
    <w:rsid w:val="004371E2"/>
    <w:rsid w:val="00437F2C"/>
    <w:rsid w:val="0044116D"/>
    <w:rsid w:val="0044143C"/>
    <w:rsid w:val="00445433"/>
    <w:rsid w:val="0044619B"/>
    <w:rsid w:val="00454805"/>
    <w:rsid w:val="00462478"/>
    <w:rsid w:val="0046759E"/>
    <w:rsid w:val="0047052C"/>
    <w:rsid w:val="00475D74"/>
    <w:rsid w:val="00481A64"/>
    <w:rsid w:val="00482BF1"/>
    <w:rsid w:val="0048465C"/>
    <w:rsid w:val="004924FF"/>
    <w:rsid w:val="004A37E1"/>
    <w:rsid w:val="004A45DE"/>
    <w:rsid w:val="004B02EB"/>
    <w:rsid w:val="004B2818"/>
    <w:rsid w:val="004B2ECE"/>
    <w:rsid w:val="004B6CC8"/>
    <w:rsid w:val="004B6F89"/>
    <w:rsid w:val="004C115D"/>
    <w:rsid w:val="004C6623"/>
    <w:rsid w:val="004E3603"/>
    <w:rsid w:val="004E3AD4"/>
    <w:rsid w:val="004E3DE1"/>
    <w:rsid w:val="004E63D8"/>
    <w:rsid w:val="004F2062"/>
    <w:rsid w:val="004F48CA"/>
    <w:rsid w:val="00501255"/>
    <w:rsid w:val="00503795"/>
    <w:rsid w:val="00510BD8"/>
    <w:rsid w:val="00511E9B"/>
    <w:rsid w:val="005140B9"/>
    <w:rsid w:val="0052052E"/>
    <w:rsid w:val="00524AC7"/>
    <w:rsid w:val="005275FE"/>
    <w:rsid w:val="00534D94"/>
    <w:rsid w:val="00535679"/>
    <w:rsid w:val="00536A6C"/>
    <w:rsid w:val="005479D1"/>
    <w:rsid w:val="00554CF3"/>
    <w:rsid w:val="005569AB"/>
    <w:rsid w:val="00560B34"/>
    <w:rsid w:val="00570975"/>
    <w:rsid w:val="0057355A"/>
    <w:rsid w:val="005737CC"/>
    <w:rsid w:val="0057701B"/>
    <w:rsid w:val="00577892"/>
    <w:rsid w:val="00582347"/>
    <w:rsid w:val="00583D1B"/>
    <w:rsid w:val="005847D0"/>
    <w:rsid w:val="005959E7"/>
    <w:rsid w:val="005A4012"/>
    <w:rsid w:val="005A52E5"/>
    <w:rsid w:val="005A5F41"/>
    <w:rsid w:val="005A680A"/>
    <w:rsid w:val="005A7570"/>
    <w:rsid w:val="005A7CE4"/>
    <w:rsid w:val="005B5370"/>
    <w:rsid w:val="005B6145"/>
    <w:rsid w:val="005B66D2"/>
    <w:rsid w:val="005C0B7C"/>
    <w:rsid w:val="005C55CE"/>
    <w:rsid w:val="005C7875"/>
    <w:rsid w:val="005D19D0"/>
    <w:rsid w:val="005D3CF5"/>
    <w:rsid w:val="005D4290"/>
    <w:rsid w:val="005E25FC"/>
    <w:rsid w:val="005E4FC1"/>
    <w:rsid w:val="005E7926"/>
    <w:rsid w:val="005F01DF"/>
    <w:rsid w:val="005F0B03"/>
    <w:rsid w:val="005F146A"/>
    <w:rsid w:val="005F1BAB"/>
    <w:rsid w:val="005F43CC"/>
    <w:rsid w:val="005F4501"/>
    <w:rsid w:val="005F51FB"/>
    <w:rsid w:val="005F5943"/>
    <w:rsid w:val="005F6A62"/>
    <w:rsid w:val="005F74AF"/>
    <w:rsid w:val="00600530"/>
    <w:rsid w:val="00605D15"/>
    <w:rsid w:val="0060714A"/>
    <w:rsid w:val="006071A9"/>
    <w:rsid w:val="00607F4A"/>
    <w:rsid w:val="00613EC4"/>
    <w:rsid w:val="00615C9F"/>
    <w:rsid w:val="0061651E"/>
    <w:rsid w:val="00621884"/>
    <w:rsid w:val="00621F79"/>
    <w:rsid w:val="00625A4E"/>
    <w:rsid w:val="00635CFC"/>
    <w:rsid w:val="006432D4"/>
    <w:rsid w:val="00644503"/>
    <w:rsid w:val="00654B7D"/>
    <w:rsid w:val="00655E4A"/>
    <w:rsid w:val="0065618F"/>
    <w:rsid w:val="00657E9A"/>
    <w:rsid w:val="00663F61"/>
    <w:rsid w:val="006669F2"/>
    <w:rsid w:val="006708BE"/>
    <w:rsid w:val="006711E9"/>
    <w:rsid w:val="00677182"/>
    <w:rsid w:val="006804F2"/>
    <w:rsid w:val="00680523"/>
    <w:rsid w:val="00683D81"/>
    <w:rsid w:val="00690E73"/>
    <w:rsid w:val="00691984"/>
    <w:rsid w:val="00693891"/>
    <w:rsid w:val="00695678"/>
    <w:rsid w:val="006A516A"/>
    <w:rsid w:val="006A7C4B"/>
    <w:rsid w:val="006B0DE9"/>
    <w:rsid w:val="006B3AE1"/>
    <w:rsid w:val="006B48A8"/>
    <w:rsid w:val="006B4B8E"/>
    <w:rsid w:val="006B6248"/>
    <w:rsid w:val="006C1A4D"/>
    <w:rsid w:val="006E0C5F"/>
    <w:rsid w:val="006E3187"/>
    <w:rsid w:val="006E3FEB"/>
    <w:rsid w:val="006E6634"/>
    <w:rsid w:val="006F1F7A"/>
    <w:rsid w:val="006F304E"/>
    <w:rsid w:val="0070278B"/>
    <w:rsid w:val="007040CC"/>
    <w:rsid w:val="00711C45"/>
    <w:rsid w:val="00712C40"/>
    <w:rsid w:val="00716064"/>
    <w:rsid w:val="00717A85"/>
    <w:rsid w:val="0072343E"/>
    <w:rsid w:val="00725BBA"/>
    <w:rsid w:val="007327F0"/>
    <w:rsid w:val="00733168"/>
    <w:rsid w:val="00734EAF"/>
    <w:rsid w:val="0073520D"/>
    <w:rsid w:val="00746AAD"/>
    <w:rsid w:val="00755CCF"/>
    <w:rsid w:val="00762F23"/>
    <w:rsid w:val="00762F54"/>
    <w:rsid w:val="0076384B"/>
    <w:rsid w:val="0076549A"/>
    <w:rsid w:val="00773F58"/>
    <w:rsid w:val="00776AB3"/>
    <w:rsid w:val="00780185"/>
    <w:rsid w:val="007836A0"/>
    <w:rsid w:val="0078543A"/>
    <w:rsid w:val="00785A12"/>
    <w:rsid w:val="00787EC9"/>
    <w:rsid w:val="00793FF5"/>
    <w:rsid w:val="007A0463"/>
    <w:rsid w:val="007A0E68"/>
    <w:rsid w:val="007A2451"/>
    <w:rsid w:val="007A6494"/>
    <w:rsid w:val="007B1B7A"/>
    <w:rsid w:val="007B31CC"/>
    <w:rsid w:val="007B4E7A"/>
    <w:rsid w:val="007B6C6D"/>
    <w:rsid w:val="007B73F7"/>
    <w:rsid w:val="007C408F"/>
    <w:rsid w:val="007C4194"/>
    <w:rsid w:val="007C5FFB"/>
    <w:rsid w:val="007C7116"/>
    <w:rsid w:val="007D08E8"/>
    <w:rsid w:val="007D1369"/>
    <w:rsid w:val="007D159F"/>
    <w:rsid w:val="007D4BD2"/>
    <w:rsid w:val="007D7D07"/>
    <w:rsid w:val="007E0EDF"/>
    <w:rsid w:val="007E4BBC"/>
    <w:rsid w:val="007E7D0A"/>
    <w:rsid w:val="007F234E"/>
    <w:rsid w:val="00803102"/>
    <w:rsid w:val="00804BA9"/>
    <w:rsid w:val="00806C1F"/>
    <w:rsid w:val="00815DF8"/>
    <w:rsid w:val="00827778"/>
    <w:rsid w:val="00830B58"/>
    <w:rsid w:val="00833F8B"/>
    <w:rsid w:val="0084126E"/>
    <w:rsid w:val="00841B0C"/>
    <w:rsid w:val="0084254D"/>
    <w:rsid w:val="00842C85"/>
    <w:rsid w:val="00846690"/>
    <w:rsid w:val="00851D5F"/>
    <w:rsid w:val="0085533D"/>
    <w:rsid w:val="00855581"/>
    <w:rsid w:val="00862044"/>
    <w:rsid w:val="0086357A"/>
    <w:rsid w:val="0086443A"/>
    <w:rsid w:val="00865668"/>
    <w:rsid w:val="00865FEB"/>
    <w:rsid w:val="00871BF3"/>
    <w:rsid w:val="00871E52"/>
    <w:rsid w:val="00871F69"/>
    <w:rsid w:val="008773F7"/>
    <w:rsid w:val="008779BD"/>
    <w:rsid w:val="00890CBB"/>
    <w:rsid w:val="00894DE9"/>
    <w:rsid w:val="00896551"/>
    <w:rsid w:val="008A02B4"/>
    <w:rsid w:val="008A2078"/>
    <w:rsid w:val="008A3127"/>
    <w:rsid w:val="008A5D44"/>
    <w:rsid w:val="008C3F0C"/>
    <w:rsid w:val="008D095A"/>
    <w:rsid w:val="008D1232"/>
    <w:rsid w:val="008D5E20"/>
    <w:rsid w:val="008F7EDA"/>
    <w:rsid w:val="009005FF"/>
    <w:rsid w:val="009010F0"/>
    <w:rsid w:val="0090377A"/>
    <w:rsid w:val="00912972"/>
    <w:rsid w:val="009135B4"/>
    <w:rsid w:val="00920C9B"/>
    <w:rsid w:val="00927328"/>
    <w:rsid w:val="00931663"/>
    <w:rsid w:val="00932A47"/>
    <w:rsid w:val="009350B5"/>
    <w:rsid w:val="00936458"/>
    <w:rsid w:val="009427E0"/>
    <w:rsid w:val="00942995"/>
    <w:rsid w:val="0094460C"/>
    <w:rsid w:val="00946FC9"/>
    <w:rsid w:val="00954F79"/>
    <w:rsid w:val="00957A67"/>
    <w:rsid w:val="00964B06"/>
    <w:rsid w:val="0097659D"/>
    <w:rsid w:val="009809C3"/>
    <w:rsid w:val="00981BD9"/>
    <w:rsid w:val="0098448A"/>
    <w:rsid w:val="00984CBA"/>
    <w:rsid w:val="00985BE5"/>
    <w:rsid w:val="009868DF"/>
    <w:rsid w:val="009A0099"/>
    <w:rsid w:val="009A267D"/>
    <w:rsid w:val="009C0BEA"/>
    <w:rsid w:val="009C156B"/>
    <w:rsid w:val="009C2188"/>
    <w:rsid w:val="009C48E1"/>
    <w:rsid w:val="009C6966"/>
    <w:rsid w:val="009D32B7"/>
    <w:rsid w:val="009D4225"/>
    <w:rsid w:val="009D565D"/>
    <w:rsid w:val="009D5AE8"/>
    <w:rsid w:val="009E1B51"/>
    <w:rsid w:val="009E278A"/>
    <w:rsid w:val="009E46BC"/>
    <w:rsid w:val="009F0582"/>
    <w:rsid w:val="009F19EE"/>
    <w:rsid w:val="009F24AB"/>
    <w:rsid w:val="009F3269"/>
    <w:rsid w:val="009F5E01"/>
    <w:rsid w:val="009F78F7"/>
    <w:rsid w:val="00A01F92"/>
    <w:rsid w:val="00A10286"/>
    <w:rsid w:val="00A135F7"/>
    <w:rsid w:val="00A203E5"/>
    <w:rsid w:val="00A2740A"/>
    <w:rsid w:val="00A330D4"/>
    <w:rsid w:val="00A35C77"/>
    <w:rsid w:val="00A36731"/>
    <w:rsid w:val="00A36E34"/>
    <w:rsid w:val="00A400D1"/>
    <w:rsid w:val="00A40350"/>
    <w:rsid w:val="00A418C9"/>
    <w:rsid w:val="00A426E4"/>
    <w:rsid w:val="00A44927"/>
    <w:rsid w:val="00A5097F"/>
    <w:rsid w:val="00A524DD"/>
    <w:rsid w:val="00A52B1C"/>
    <w:rsid w:val="00A530EA"/>
    <w:rsid w:val="00A5590E"/>
    <w:rsid w:val="00A573E4"/>
    <w:rsid w:val="00A6353F"/>
    <w:rsid w:val="00A7366B"/>
    <w:rsid w:val="00A75410"/>
    <w:rsid w:val="00A77278"/>
    <w:rsid w:val="00A83D81"/>
    <w:rsid w:val="00A94036"/>
    <w:rsid w:val="00A97E22"/>
    <w:rsid w:val="00AA0F72"/>
    <w:rsid w:val="00AA180A"/>
    <w:rsid w:val="00AA44AA"/>
    <w:rsid w:val="00AA5D94"/>
    <w:rsid w:val="00AC0554"/>
    <w:rsid w:val="00AC1E66"/>
    <w:rsid w:val="00AC41C6"/>
    <w:rsid w:val="00AC42B8"/>
    <w:rsid w:val="00AC6A4A"/>
    <w:rsid w:val="00AD118F"/>
    <w:rsid w:val="00AE3547"/>
    <w:rsid w:val="00AE5463"/>
    <w:rsid w:val="00AE5DE9"/>
    <w:rsid w:val="00AE619C"/>
    <w:rsid w:val="00AF48C0"/>
    <w:rsid w:val="00AF7891"/>
    <w:rsid w:val="00AF7C8A"/>
    <w:rsid w:val="00B0751F"/>
    <w:rsid w:val="00B23113"/>
    <w:rsid w:val="00B26190"/>
    <w:rsid w:val="00B30F56"/>
    <w:rsid w:val="00B34A29"/>
    <w:rsid w:val="00B434E2"/>
    <w:rsid w:val="00B47FAC"/>
    <w:rsid w:val="00B5296A"/>
    <w:rsid w:val="00B61506"/>
    <w:rsid w:val="00B62378"/>
    <w:rsid w:val="00B634B3"/>
    <w:rsid w:val="00B653FE"/>
    <w:rsid w:val="00B7179F"/>
    <w:rsid w:val="00B7297D"/>
    <w:rsid w:val="00B85B07"/>
    <w:rsid w:val="00B8755E"/>
    <w:rsid w:val="00B916A5"/>
    <w:rsid w:val="00B91745"/>
    <w:rsid w:val="00B921DB"/>
    <w:rsid w:val="00B92D8B"/>
    <w:rsid w:val="00B93B5E"/>
    <w:rsid w:val="00BA025B"/>
    <w:rsid w:val="00BA0718"/>
    <w:rsid w:val="00BB11E9"/>
    <w:rsid w:val="00BB1BD2"/>
    <w:rsid w:val="00BB1C6F"/>
    <w:rsid w:val="00BB4F79"/>
    <w:rsid w:val="00BB6175"/>
    <w:rsid w:val="00BB69AF"/>
    <w:rsid w:val="00BC062C"/>
    <w:rsid w:val="00BD04E7"/>
    <w:rsid w:val="00BD66D1"/>
    <w:rsid w:val="00BD76F3"/>
    <w:rsid w:val="00BE0BFE"/>
    <w:rsid w:val="00BE3291"/>
    <w:rsid w:val="00BE360A"/>
    <w:rsid w:val="00BE464D"/>
    <w:rsid w:val="00BE695A"/>
    <w:rsid w:val="00BF1DF3"/>
    <w:rsid w:val="00BF263A"/>
    <w:rsid w:val="00BF5AD3"/>
    <w:rsid w:val="00C06DE6"/>
    <w:rsid w:val="00C14676"/>
    <w:rsid w:val="00C16653"/>
    <w:rsid w:val="00C167A1"/>
    <w:rsid w:val="00C20317"/>
    <w:rsid w:val="00C25598"/>
    <w:rsid w:val="00C2637F"/>
    <w:rsid w:val="00C26A64"/>
    <w:rsid w:val="00C320DF"/>
    <w:rsid w:val="00C321C0"/>
    <w:rsid w:val="00C36971"/>
    <w:rsid w:val="00C463E9"/>
    <w:rsid w:val="00C47817"/>
    <w:rsid w:val="00C50A43"/>
    <w:rsid w:val="00C519D0"/>
    <w:rsid w:val="00C525DF"/>
    <w:rsid w:val="00C525F6"/>
    <w:rsid w:val="00C60430"/>
    <w:rsid w:val="00C665F8"/>
    <w:rsid w:val="00C71950"/>
    <w:rsid w:val="00C732CE"/>
    <w:rsid w:val="00C7372F"/>
    <w:rsid w:val="00C7471E"/>
    <w:rsid w:val="00C750DD"/>
    <w:rsid w:val="00C80DAD"/>
    <w:rsid w:val="00C81F04"/>
    <w:rsid w:val="00C83F61"/>
    <w:rsid w:val="00C84079"/>
    <w:rsid w:val="00C8539F"/>
    <w:rsid w:val="00C91C1C"/>
    <w:rsid w:val="00C92DC3"/>
    <w:rsid w:val="00C94E1D"/>
    <w:rsid w:val="00CA10BA"/>
    <w:rsid w:val="00CA5FFF"/>
    <w:rsid w:val="00CA6B30"/>
    <w:rsid w:val="00CB0F30"/>
    <w:rsid w:val="00CB1F5D"/>
    <w:rsid w:val="00CB4391"/>
    <w:rsid w:val="00CB4E30"/>
    <w:rsid w:val="00CB6A80"/>
    <w:rsid w:val="00CB70CD"/>
    <w:rsid w:val="00CC12C6"/>
    <w:rsid w:val="00CC471D"/>
    <w:rsid w:val="00CC58E9"/>
    <w:rsid w:val="00CC673D"/>
    <w:rsid w:val="00CD188B"/>
    <w:rsid w:val="00CD755B"/>
    <w:rsid w:val="00CD7BC5"/>
    <w:rsid w:val="00CE21E8"/>
    <w:rsid w:val="00CE5EEF"/>
    <w:rsid w:val="00CE6340"/>
    <w:rsid w:val="00CF1E51"/>
    <w:rsid w:val="00CF3CFA"/>
    <w:rsid w:val="00CF6A00"/>
    <w:rsid w:val="00CF6FA1"/>
    <w:rsid w:val="00CF74D1"/>
    <w:rsid w:val="00D0229E"/>
    <w:rsid w:val="00D02AA6"/>
    <w:rsid w:val="00D030FF"/>
    <w:rsid w:val="00D04118"/>
    <w:rsid w:val="00D04613"/>
    <w:rsid w:val="00D05132"/>
    <w:rsid w:val="00D0652A"/>
    <w:rsid w:val="00D1625D"/>
    <w:rsid w:val="00D17130"/>
    <w:rsid w:val="00D209DA"/>
    <w:rsid w:val="00D24868"/>
    <w:rsid w:val="00D27BE5"/>
    <w:rsid w:val="00D32B92"/>
    <w:rsid w:val="00D32D41"/>
    <w:rsid w:val="00D32D63"/>
    <w:rsid w:val="00D37182"/>
    <w:rsid w:val="00D40602"/>
    <w:rsid w:val="00D42AAE"/>
    <w:rsid w:val="00D43B01"/>
    <w:rsid w:val="00D46EFD"/>
    <w:rsid w:val="00D47983"/>
    <w:rsid w:val="00D5163C"/>
    <w:rsid w:val="00D57D12"/>
    <w:rsid w:val="00D601DE"/>
    <w:rsid w:val="00D610B8"/>
    <w:rsid w:val="00D639BA"/>
    <w:rsid w:val="00D66E76"/>
    <w:rsid w:val="00D723C5"/>
    <w:rsid w:val="00D82CED"/>
    <w:rsid w:val="00D87A57"/>
    <w:rsid w:val="00D87C5F"/>
    <w:rsid w:val="00D940C8"/>
    <w:rsid w:val="00D96AEB"/>
    <w:rsid w:val="00D96FEE"/>
    <w:rsid w:val="00DA37AD"/>
    <w:rsid w:val="00DA3D19"/>
    <w:rsid w:val="00DA3EAC"/>
    <w:rsid w:val="00DA4A3C"/>
    <w:rsid w:val="00DC0D45"/>
    <w:rsid w:val="00DC0ECE"/>
    <w:rsid w:val="00DC1D42"/>
    <w:rsid w:val="00DD2DF1"/>
    <w:rsid w:val="00DD63FE"/>
    <w:rsid w:val="00DE3F3B"/>
    <w:rsid w:val="00DE4573"/>
    <w:rsid w:val="00DE4A70"/>
    <w:rsid w:val="00DE4DFA"/>
    <w:rsid w:val="00DE5BF4"/>
    <w:rsid w:val="00DE7B6B"/>
    <w:rsid w:val="00DF0E3B"/>
    <w:rsid w:val="00DF5DAA"/>
    <w:rsid w:val="00DF659E"/>
    <w:rsid w:val="00DF735F"/>
    <w:rsid w:val="00E0403C"/>
    <w:rsid w:val="00E04F25"/>
    <w:rsid w:val="00E05D73"/>
    <w:rsid w:val="00E11FEA"/>
    <w:rsid w:val="00E12282"/>
    <w:rsid w:val="00E13B60"/>
    <w:rsid w:val="00E13BFE"/>
    <w:rsid w:val="00E14117"/>
    <w:rsid w:val="00E1530E"/>
    <w:rsid w:val="00E159C6"/>
    <w:rsid w:val="00E21B4C"/>
    <w:rsid w:val="00E33D96"/>
    <w:rsid w:val="00E344F5"/>
    <w:rsid w:val="00E35602"/>
    <w:rsid w:val="00E44A41"/>
    <w:rsid w:val="00E46F02"/>
    <w:rsid w:val="00E50501"/>
    <w:rsid w:val="00E50939"/>
    <w:rsid w:val="00E552B3"/>
    <w:rsid w:val="00E628C2"/>
    <w:rsid w:val="00E674E4"/>
    <w:rsid w:val="00E70372"/>
    <w:rsid w:val="00E721E2"/>
    <w:rsid w:val="00E752A2"/>
    <w:rsid w:val="00E75D8F"/>
    <w:rsid w:val="00E85B68"/>
    <w:rsid w:val="00E91D7B"/>
    <w:rsid w:val="00E93F38"/>
    <w:rsid w:val="00E94DC7"/>
    <w:rsid w:val="00E95E15"/>
    <w:rsid w:val="00E971C1"/>
    <w:rsid w:val="00E974B9"/>
    <w:rsid w:val="00EA1558"/>
    <w:rsid w:val="00EA21D6"/>
    <w:rsid w:val="00EA24E8"/>
    <w:rsid w:val="00EA4900"/>
    <w:rsid w:val="00EB4813"/>
    <w:rsid w:val="00EB4D90"/>
    <w:rsid w:val="00EB5244"/>
    <w:rsid w:val="00EB5DCD"/>
    <w:rsid w:val="00EC368A"/>
    <w:rsid w:val="00EC39C8"/>
    <w:rsid w:val="00EC3D91"/>
    <w:rsid w:val="00EC7039"/>
    <w:rsid w:val="00EC7323"/>
    <w:rsid w:val="00EE120A"/>
    <w:rsid w:val="00EE153E"/>
    <w:rsid w:val="00EE706A"/>
    <w:rsid w:val="00EE7CBD"/>
    <w:rsid w:val="00EF2438"/>
    <w:rsid w:val="00EF280A"/>
    <w:rsid w:val="00F052AE"/>
    <w:rsid w:val="00F11203"/>
    <w:rsid w:val="00F1127B"/>
    <w:rsid w:val="00F120D7"/>
    <w:rsid w:val="00F15459"/>
    <w:rsid w:val="00F16427"/>
    <w:rsid w:val="00F275E3"/>
    <w:rsid w:val="00F300B5"/>
    <w:rsid w:val="00F30373"/>
    <w:rsid w:val="00F31CC1"/>
    <w:rsid w:val="00F32A52"/>
    <w:rsid w:val="00F32FE4"/>
    <w:rsid w:val="00F3505E"/>
    <w:rsid w:val="00F36ABF"/>
    <w:rsid w:val="00F36BCB"/>
    <w:rsid w:val="00F376F9"/>
    <w:rsid w:val="00F44FF9"/>
    <w:rsid w:val="00F450C3"/>
    <w:rsid w:val="00F47A23"/>
    <w:rsid w:val="00F50597"/>
    <w:rsid w:val="00F52211"/>
    <w:rsid w:val="00F55E45"/>
    <w:rsid w:val="00F64E2A"/>
    <w:rsid w:val="00F65159"/>
    <w:rsid w:val="00F66CBA"/>
    <w:rsid w:val="00F66E76"/>
    <w:rsid w:val="00F70C34"/>
    <w:rsid w:val="00F7158B"/>
    <w:rsid w:val="00F746D0"/>
    <w:rsid w:val="00F75626"/>
    <w:rsid w:val="00F812DE"/>
    <w:rsid w:val="00F82616"/>
    <w:rsid w:val="00F8461D"/>
    <w:rsid w:val="00F87370"/>
    <w:rsid w:val="00F91696"/>
    <w:rsid w:val="00F94861"/>
    <w:rsid w:val="00F95188"/>
    <w:rsid w:val="00F9536F"/>
    <w:rsid w:val="00F96A29"/>
    <w:rsid w:val="00F97EF0"/>
    <w:rsid w:val="00FA0799"/>
    <w:rsid w:val="00FA3B93"/>
    <w:rsid w:val="00FA7433"/>
    <w:rsid w:val="00FB1601"/>
    <w:rsid w:val="00FB6D92"/>
    <w:rsid w:val="00FC00A2"/>
    <w:rsid w:val="00FC14F7"/>
    <w:rsid w:val="00FC4305"/>
    <w:rsid w:val="00FC7395"/>
    <w:rsid w:val="00FC7742"/>
    <w:rsid w:val="00FD1E68"/>
    <w:rsid w:val="00FD5826"/>
    <w:rsid w:val="00FE4FAB"/>
    <w:rsid w:val="00FE6C14"/>
    <w:rsid w:val="00FE7084"/>
    <w:rsid w:val="00FF30E4"/>
    <w:rsid w:val="00FF7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DBEE0"/>
  <w15:chartTrackingRefBased/>
  <w15:docId w15:val="{62E6D0AA-5348-4CF6-A9FE-5A7B028E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91"/>
  </w:style>
  <w:style w:type="paragraph" w:styleId="Heading1">
    <w:name w:val="heading 1"/>
    <w:basedOn w:val="Normal"/>
    <w:next w:val="Normal"/>
    <w:link w:val="Heading1Char"/>
    <w:uiPriority w:val="9"/>
    <w:qFormat/>
    <w:rsid w:val="00511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7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D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1F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E9A"/>
  </w:style>
  <w:style w:type="paragraph" w:styleId="Footer">
    <w:name w:val="footer"/>
    <w:basedOn w:val="Normal"/>
    <w:link w:val="FooterChar"/>
    <w:uiPriority w:val="99"/>
    <w:unhideWhenUsed/>
    <w:rsid w:val="00657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E9A"/>
  </w:style>
  <w:style w:type="character" w:customStyle="1" w:styleId="Heading2Char">
    <w:name w:val="Heading 2 Char"/>
    <w:basedOn w:val="DefaultParagraphFont"/>
    <w:link w:val="Heading2"/>
    <w:uiPriority w:val="9"/>
    <w:rsid w:val="00017D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7D3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17D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08 List Paragraph,Akapit z listą BS,Bullet1,Forth level,List Paragraph 1,List Paragraph1,List_Paragraph,Main numbered paragraph,Multilevel para_II,Normal bullet 2,Numbered List Paragraph,Numbered Paragraph,Outlines a.b.c.,References"/>
    <w:basedOn w:val="Normal"/>
    <w:uiPriority w:val="34"/>
    <w:qFormat/>
    <w:rsid w:val="00017D36"/>
    <w:pPr>
      <w:ind w:left="720"/>
      <w:contextualSpacing/>
    </w:pPr>
  </w:style>
  <w:style w:type="character" w:customStyle="1" w:styleId="Heading1Char">
    <w:name w:val="Heading 1 Char"/>
    <w:basedOn w:val="DefaultParagraphFont"/>
    <w:link w:val="Heading1"/>
    <w:uiPriority w:val="9"/>
    <w:rsid w:val="00511E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1E51"/>
    <w:pPr>
      <w:outlineLvl w:val="9"/>
    </w:pPr>
    <w:rPr>
      <w:lang w:eastAsia="hr-HR"/>
    </w:rPr>
  </w:style>
  <w:style w:type="paragraph" w:styleId="TOC2">
    <w:name w:val="toc 2"/>
    <w:basedOn w:val="Normal"/>
    <w:next w:val="Normal"/>
    <w:autoRedefine/>
    <w:uiPriority w:val="39"/>
    <w:unhideWhenUsed/>
    <w:rsid w:val="00CF1E51"/>
    <w:pPr>
      <w:spacing w:after="100"/>
      <w:ind w:left="220"/>
    </w:pPr>
  </w:style>
  <w:style w:type="paragraph" w:styleId="TOC3">
    <w:name w:val="toc 3"/>
    <w:basedOn w:val="Normal"/>
    <w:next w:val="Normal"/>
    <w:autoRedefine/>
    <w:uiPriority w:val="39"/>
    <w:unhideWhenUsed/>
    <w:rsid w:val="00CF1E51"/>
    <w:pPr>
      <w:spacing w:after="100"/>
      <w:ind w:left="440"/>
    </w:pPr>
  </w:style>
  <w:style w:type="paragraph" w:styleId="TOC1">
    <w:name w:val="toc 1"/>
    <w:basedOn w:val="Normal"/>
    <w:next w:val="Normal"/>
    <w:autoRedefine/>
    <w:uiPriority w:val="39"/>
    <w:unhideWhenUsed/>
    <w:rsid w:val="00CF1E51"/>
    <w:pPr>
      <w:spacing w:after="100"/>
    </w:pPr>
  </w:style>
  <w:style w:type="character" w:styleId="Hyperlink">
    <w:name w:val="Hyperlink"/>
    <w:basedOn w:val="DefaultParagraphFont"/>
    <w:uiPriority w:val="99"/>
    <w:unhideWhenUsed/>
    <w:rsid w:val="00CF1E51"/>
    <w:rPr>
      <w:color w:val="0563C1" w:themeColor="hyperlink"/>
      <w:u w:val="single"/>
    </w:rPr>
  </w:style>
  <w:style w:type="character" w:styleId="Strong">
    <w:name w:val="Strong"/>
    <w:basedOn w:val="DefaultParagraphFont"/>
    <w:uiPriority w:val="22"/>
    <w:qFormat/>
    <w:rsid w:val="00010794"/>
    <w:rPr>
      <w:b/>
      <w:bCs/>
    </w:rPr>
  </w:style>
  <w:style w:type="paragraph" w:styleId="NormalWeb">
    <w:name w:val="Normal (Web)"/>
    <w:basedOn w:val="Normal"/>
    <w:uiPriority w:val="99"/>
    <w:unhideWhenUsed/>
    <w:rsid w:val="000107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79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q4iawc">
    <w:name w:val="q4iawc"/>
    <w:basedOn w:val="DefaultParagraphFont"/>
    <w:rsid w:val="00010794"/>
  </w:style>
  <w:style w:type="paragraph" w:styleId="NoSpacing">
    <w:name w:val="No Spacing"/>
    <w:link w:val="NoSpacingChar"/>
    <w:uiPriority w:val="1"/>
    <w:qFormat/>
    <w:rsid w:val="00787EC9"/>
    <w:pPr>
      <w:spacing w:after="0" w:line="240" w:lineRule="auto"/>
    </w:pPr>
  </w:style>
  <w:style w:type="character" w:customStyle="1" w:styleId="NoSpacingChar">
    <w:name w:val="No Spacing Char"/>
    <w:basedOn w:val="DefaultParagraphFont"/>
    <w:link w:val="NoSpacing"/>
    <w:uiPriority w:val="1"/>
    <w:locked/>
    <w:rsid w:val="00787EC9"/>
  </w:style>
  <w:style w:type="character" w:customStyle="1" w:styleId="markedcontent">
    <w:name w:val="markedcontent"/>
    <w:basedOn w:val="DefaultParagraphFont"/>
    <w:rsid w:val="00FA0799"/>
  </w:style>
  <w:style w:type="paragraph" w:styleId="BodyText">
    <w:name w:val="Body Text"/>
    <w:basedOn w:val="Normal"/>
    <w:link w:val="BodyTextChar"/>
    <w:uiPriority w:val="99"/>
    <w:semiHidden/>
    <w:unhideWhenUsed/>
    <w:rsid w:val="00803102"/>
    <w:pPr>
      <w:spacing w:after="120"/>
    </w:pPr>
  </w:style>
  <w:style w:type="character" w:customStyle="1" w:styleId="BodyTextChar">
    <w:name w:val="Body Text Char"/>
    <w:basedOn w:val="DefaultParagraphFont"/>
    <w:link w:val="BodyText"/>
    <w:uiPriority w:val="99"/>
    <w:semiHidden/>
    <w:rsid w:val="00803102"/>
  </w:style>
  <w:style w:type="table" w:customStyle="1" w:styleId="TableGrid0">
    <w:name w:val="TableGrid"/>
    <w:rsid w:val="00803102"/>
    <w:pPr>
      <w:spacing w:after="0" w:line="240" w:lineRule="auto"/>
    </w:pPr>
    <w:rPr>
      <w:rFonts w:eastAsiaTheme="minorEastAsia"/>
      <w:lang w:eastAsia="hr-HR"/>
    </w:rPr>
    <w:tblPr>
      <w:tblCellMar>
        <w:top w:w="0" w:type="dxa"/>
        <w:left w:w="0" w:type="dxa"/>
        <w:bottom w:w="0" w:type="dxa"/>
        <w:right w:w="0" w:type="dxa"/>
      </w:tblCellMar>
    </w:tblPr>
  </w:style>
  <w:style w:type="numbering" w:customStyle="1" w:styleId="Bezpopisa1">
    <w:name w:val="Bez popisa1"/>
    <w:next w:val="NoList"/>
    <w:uiPriority w:val="99"/>
    <w:semiHidden/>
    <w:unhideWhenUsed/>
    <w:rsid w:val="00803102"/>
  </w:style>
  <w:style w:type="numbering" w:customStyle="1" w:styleId="Bezpopisa2">
    <w:name w:val="Bez popisa2"/>
    <w:next w:val="NoList"/>
    <w:uiPriority w:val="99"/>
    <w:semiHidden/>
    <w:unhideWhenUsed/>
    <w:rsid w:val="00803102"/>
  </w:style>
  <w:style w:type="character" w:styleId="FollowedHyperlink">
    <w:name w:val="FollowedHyperlink"/>
    <w:basedOn w:val="DefaultParagraphFont"/>
    <w:uiPriority w:val="99"/>
    <w:semiHidden/>
    <w:unhideWhenUsed/>
    <w:rsid w:val="0084254D"/>
    <w:rPr>
      <w:color w:val="954F72" w:themeColor="followedHyperlink"/>
      <w:u w:val="single"/>
    </w:rPr>
  </w:style>
  <w:style w:type="paragraph" w:customStyle="1" w:styleId="msonormal0">
    <w:name w:val="msonormal"/>
    <w:basedOn w:val="Normal"/>
    <w:uiPriority w:val="99"/>
    <w:rsid w:val="0084254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871F69"/>
    <w:rPr>
      <w:rFonts w:asciiTheme="majorHAnsi" w:eastAsiaTheme="majorEastAsia" w:hAnsiTheme="majorHAnsi" w:cstheme="majorBidi"/>
      <w:i/>
      <w:iCs/>
      <w:color w:val="2F5496" w:themeColor="accent1" w:themeShade="BF"/>
    </w:rPr>
  </w:style>
  <w:style w:type="character" w:styleId="SubtleEmphasis">
    <w:name w:val="Subtle Emphasis"/>
    <w:basedOn w:val="DefaultParagraphFont"/>
    <w:uiPriority w:val="19"/>
    <w:qFormat/>
    <w:rsid w:val="00871F69"/>
    <w:rPr>
      <w:i/>
      <w:iCs/>
      <w:color w:val="404040" w:themeColor="text1" w:themeTint="BF"/>
    </w:rPr>
  </w:style>
  <w:style w:type="character" w:customStyle="1" w:styleId="rynqvb">
    <w:name w:val="rynqvb"/>
    <w:basedOn w:val="DefaultParagraphFont"/>
    <w:rsid w:val="00871F69"/>
  </w:style>
  <w:style w:type="character" w:customStyle="1" w:styleId="hwtze">
    <w:name w:val="hwtze"/>
    <w:basedOn w:val="DefaultParagraphFont"/>
    <w:rsid w:val="0087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440">
      <w:bodyDiv w:val="1"/>
      <w:marLeft w:val="0"/>
      <w:marRight w:val="0"/>
      <w:marTop w:val="0"/>
      <w:marBottom w:val="0"/>
      <w:divBdr>
        <w:top w:val="none" w:sz="0" w:space="0" w:color="auto"/>
        <w:left w:val="none" w:sz="0" w:space="0" w:color="auto"/>
        <w:bottom w:val="none" w:sz="0" w:space="0" w:color="auto"/>
        <w:right w:val="none" w:sz="0" w:space="0" w:color="auto"/>
      </w:divBdr>
    </w:div>
    <w:div w:id="199899851">
      <w:bodyDiv w:val="1"/>
      <w:marLeft w:val="0"/>
      <w:marRight w:val="0"/>
      <w:marTop w:val="0"/>
      <w:marBottom w:val="0"/>
      <w:divBdr>
        <w:top w:val="none" w:sz="0" w:space="0" w:color="auto"/>
        <w:left w:val="none" w:sz="0" w:space="0" w:color="auto"/>
        <w:bottom w:val="none" w:sz="0" w:space="0" w:color="auto"/>
        <w:right w:val="none" w:sz="0" w:space="0" w:color="auto"/>
      </w:divBdr>
    </w:div>
    <w:div w:id="323749429">
      <w:bodyDiv w:val="1"/>
      <w:marLeft w:val="0"/>
      <w:marRight w:val="0"/>
      <w:marTop w:val="0"/>
      <w:marBottom w:val="0"/>
      <w:divBdr>
        <w:top w:val="none" w:sz="0" w:space="0" w:color="auto"/>
        <w:left w:val="none" w:sz="0" w:space="0" w:color="auto"/>
        <w:bottom w:val="none" w:sz="0" w:space="0" w:color="auto"/>
        <w:right w:val="none" w:sz="0" w:space="0" w:color="auto"/>
      </w:divBdr>
    </w:div>
    <w:div w:id="437993815">
      <w:bodyDiv w:val="1"/>
      <w:marLeft w:val="0"/>
      <w:marRight w:val="0"/>
      <w:marTop w:val="0"/>
      <w:marBottom w:val="0"/>
      <w:divBdr>
        <w:top w:val="none" w:sz="0" w:space="0" w:color="auto"/>
        <w:left w:val="none" w:sz="0" w:space="0" w:color="auto"/>
        <w:bottom w:val="none" w:sz="0" w:space="0" w:color="auto"/>
        <w:right w:val="none" w:sz="0" w:space="0" w:color="auto"/>
      </w:divBdr>
    </w:div>
    <w:div w:id="479690173">
      <w:bodyDiv w:val="1"/>
      <w:marLeft w:val="0"/>
      <w:marRight w:val="0"/>
      <w:marTop w:val="0"/>
      <w:marBottom w:val="0"/>
      <w:divBdr>
        <w:top w:val="none" w:sz="0" w:space="0" w:color="auto"/>
        <w:left w:val="none" w:sz="0" w:space="0" w:color="auto"/>
        <w:bottom w:val="none" w:sz="0" w:space="0" w:color="auto"/>
        <w:right w:val="none" w:sz="0" w:space="0" w:color="auto"/>
      </w:divBdr>
    </w:div>
    <w:div w:id="540283572">
      <w:bodyDiv w:val="1"/>
      <w:marLeft w:val="0"/>
      <w:marRight w:val="0"/>
      <w:marTop w:val="0"/>
      <w:marBottom w:val="0"/>
      <w:divBdr>
        <w:top w:val="none" w:sz="0" w:space="0" w:color="auto"/>
        <w:left w:val="none" w:sz="0" w:space="0" w:color="auto"/>
        <w:bottom w:val="none" w:sz="0" w:space="0" w:color="auto"/>
        <w:right w:val="none" w:sz="0" w:space="0" w:color="auto"/>
      </w:divBdr>
    </w:div>
    <w:div w:id="604074171">
      <w:bodyDiv w:val="1"/>
      <w:marLeft w:val="0"/>
      <w:marRight w:val="0"/>
      <w:marTop w:val="0"/>
      <w:marBottom w:val="0"/>
      <w:divBdr>
        <w:top w:val="none" w:sz="0" w:space="0" w:color="auto"/>
        <w:left w:val="none" w:sz="0" w:space="0" w:color="auto"/>
        <w:bottom w:val="none" w:sz="0" w:space="0" w:color="auto"/>
        <w:right w:val="none" w:sz="0" w:space="0" w:color="auto"/>
      </w:divBdr>
      <w:divsChild>
        <w:div w:id="1259021392">
          <w:marLeft w:val="0"/>
          <w:marRight w:val="0"/>
          <w:marTop w:val="0"/>
          <w:marBottom w:val="0"/>
          <w:divBdr>
            <w:top w:val="none" w:sz="0" w:space="0" w:color="auto"/>
            <w:left w:val="none" w:sz="0" w:space="0" w:color="auto"/>
            <w:bottom w:val="none" w:sz="0" w:space="0" w:color="auto"/>
            <w:right w:val="none" w:sz="0" w:space="0" w:color="auto"/>
          </w:divBdr>
        </w:div>
      </w:divsChild>
    </w:div>
    <w:div w:id="720514721">
      <w:bodyDiv w:val="1"/>
      <w:marLeft w:val="0"/>
      <w:marRight w:val="0"/>
      <w:marTop w:val="0"/>
      <w:marBottom w:val="0"/>
      <w:divBdr>
        <w:top w:val="none" w:sz="0" w:space="0" w:color="auto"/>
        <w:left w:val="none" w:sz="0" w:space="0" w:color="auto"/>
        <w:bottom w:val="none" w:sz="0" w:space="0" w:color="auto"/>
        <w:right w:val="none" w:sz="0" w:space="0" w:color="auto"/>
      </w:divBdr>
    </w:div>
    <w:div w:id="762383391">
      <w:bodyDiv w:val="1"/>
      <w:marLeft w:val="0"/>
      <w:marRight w:val="0"/>
      <w:marTop w:val="0"/>
      <w:marBottom w:val="0"/>
      <w:divBdr>
        <w:top w:val="none" w:sz="0" w:space="0" w:color="auto"/>
        <w:left w:val="none" w:sz="0" w:space="0" w:color="auto"/>
        <w:bottom w:val="none" w:sz="0" w:space="0" w:color="auto"/>
        <w:right w:val="none" w:sz="0" w:space="0" w:color="auto"/>
      </w:divBdr>
    </w:div>
    <w:div w:id="990214430">
      <w:bodyDiv w:val="1"/>
      <w:marLeft w:val="0"/>
      <w:marRight w:val="0"/>
      <w:marTop w:val="0"/>
      <w:marBottom w:val="0"/>
      <w:divBdr>
        <w:top w:val="none" w:sz="0" w:space="0" w:color="auto"/>
        <w:left w:val="none" w:sz="0" w:space="0" w:color="auto"/>
        <w:bottom w:val="none" w:sz="0" w:space="0" w:color="auto"/>
        <w:right w:val="none" w:sz="0" w:space="0" w:color="auto"/>
      </w:divBdr>
    </w:div>
    <w:div w:id="1051728591">
      <w:bodyDiv w:val="1"/>
      <w:marLeft w:val="0"/>
      <w:marRight w:val="0"/>
      <w:marTop w:val="0"/>
      <w:marBottom w:val="0"/>
      <w:divBdr>
        <w:top w:val="none" w:sz="0" w:space="0" w:color="auto"/>
        <w:left w:val="none" w:sz="0" w:space="0" w:color="auto"/>
        <w:bottom w:val="none" w:sz="0" w:space="0" w:color="auto"/>
        <w:right w:val="none" w:sz="0" w:space="0" w:color="auto"/>
      </w:divBdr>
    </w:div>
    <w:div w:id="1169710428">
      <w:bodyDiv w:val="1"/>
      <w:marLeft w:val="0"/>
      <w:marRight w:val="0"/>
      <w:marTop w:val="0"/>
      <w:marBottom w:val="0"/>
      <w:divBdr>
        <w:top w:val="none" w:sz="0" w:space="0" w:color="auto"/>
        <w:left w:val="none" w:sz="0" w:space="0" w:color="auto"/>
        <w:bottom w:val="none" w:sz="0" w:space="0" w:color="auto"/>
        <w:right w:val="none" w:sz="0" w:space="0" w:color="auto"/>
      </w:divBdr>
    </w:div>
    <w:div w:id="1259216804">
      <w:bodyDiv w:val="1"/>
      <w:marLeft w:val="0"/>
      <w:marRight w:val="0"/>
      <w:marTop w:val="0"/>
      <w:marBottom w:val="0"/>
      <w:divBdr>
        <w:top w:val="none" w:sz="0" w:space="0" w:color="auto"/>
        <w:left w:val="none" w:sz="0" w:space="0" w:color="auto"/>
        <w:bottom w:val="none" w:sz="0" w:space="0" w:color="auto"/>
        <w:right w:val="none" w:sz="0" w:space="0" w:color="auto"/>
      </w:divBdr>
    </w:div>
    <w:div w:id="1382290438">
      <w:bodyDiv w:val="1"/>
      <w:marLeft w:val="0"/>
      <w:marRight w:val="0"/>
      <w:marTop w:val="0"/>
      <w:marBottom w:val="0"/>
      <w:divBdr>
        <w:top w:val="none" w:sz="0" w:space="0" w:color="auto"/>
        <w:left w:val="none" w:sz="0" w:space="0" w:color="auto"/>
        <w:bottom w:val="none" w:sz="0" w:space="0" w:color="auto"/>
        <w:right w:val="none" w:sz="0" w:space="0" w:color="auto"/>
      </w:divBdr>
      <w:divsChild>
        <w:div w:id="1989239787">
          <w:marLeft w:val="0"/>
          <w:marRight w:val="0"/>
          <w:marTop w:val="0"/>
          <w:marBottom w:val="0"/>
          <w:divBdr>
            <w:top w:val="none" w:sz="0" w:space="0" w:color="auto"/>
            <w:left w:val="none" w:sz="0" w:space="0" w:color="auto"/>
            <w:bottom w:val="none" w:sz="0" w:space="0" w:color="auto"/>
            <w:right w:val="none" w:sz="0" w:space="0" w:color="auto"/>
          </w:divBdr>
        </w:div>
      </w:divsChild>
    </w:div>
    <w:div w:id="1401488825">
      <w:bodyDiv w:val="1"/>
      <w:marLeft w:val="0"/>
      <w:marRight w:val="0"/>
      <w:marTop w:val="0"/>
      <w:marBottom w:val="0"/>
      <w:divBdr>
        <w:top w:val="none" w:sz="0" w:space="0" w:color="auto"/>
        <w:left w:val="none" w:sz="0" w:space="0" w:color="auto"/>
        <w:bottom w:val="none" w:sz="0" w:space="0" w:color="auto"/>
        <w:right w:val="none" w:sz="0" w:space="0" w:color="auto"/>
      </w:divBdr>
    </w:div>
    <w:div w:id="1619753756">
      <w:bodyDiv w:val="1"/>
      <w:marLeft w:val="0"/>
      <w:marRight w:val="0"/>
      <w:marTop w:val="0"/>
      <w:marBottom w:val="0"/>
      <w:divBdr>
        <w:top w:val="none" w:sz="0" w:space="0" w:color="auto"/>
        <w:left w:val="none" w:sz="0" w:space="0" w:color="auto"/>
        <w:bottom w:val="none" w:sz="0" w:space="0" w:color="auto"/>
        <w:right w:val="none" w:sz="0" w:space="0" w:color="auto"/>
      </w:divBdr>
    </w:div>
    <w:div w:id="1726367785">
      <w:bodyDiv w:val="1"/>
      <w:marLeft w:val="0"/>
      <w:marRight w:val="0"/>
      <w:marTop w:val="0"/>
      <w:marBottom w:val="0"/>
      <w:divBdr>
        <w:top w:val="none" w:sz="0" w:space="0" w:color="auto"/>
        <w:left w:val="none" w:sz="0" w:space="0" w:color="auto"/>
        <w:bottom w:val="none" w:sz="0" w:space="0" w:color="auto"/>
        <w:right w:val="none" w:sz="0" w:space="0" w:color="auto"/>
      </w:divBdr>
    </w:div>
    <w:div w:id="1734809045">
      <w:bodyDiv w:val="1"/>
      <w:marLeft w:val="0"/>
      <w:marRight w:val="0"/>
      <w:marTop w:val="0"/>
      <w:marBottom w:val="0"/>
      <w:divBdr>
        <w:top w:val="none" w:sz="0" w:space="0" w:color="auto"/>
        <w:left w:val="none" w:sz="0" w:space="0" w:color="auto"/>
        <w:bottom w:val="none" w:sz="0" w:space="0" w:color="auto"/>
        <w:right w:val="none" w:sz="0" w:space="0" w:color="auto"/>
      </w:divBdr>
    </w:div>
    <w:div w:id="1786847812">
      <w:bodyDiv w:val="1"/>
      <w:marLeft w:val="0"/>
      <w:marRight w:val="0"/>
      <w:marTop w:val="0"/>
      <w:marBottom w:val="0"/>
      <w:divBdr>
        <w:top w:val="none" w:sz="0" w:space="0" w:color="auto"/>
        <w:left w:val="none" w:sz="0" w:space="0" w:color="auto"/>
        <w:bottom w:val="none" w:sz="0" w:space="0" w:color="auto"/>
        <w:right w:val="none" w:sz="0" w:space="0" w:color="auto"/>
      </w:divBdr>
    </w:div>
    <w:div w:id="1901598991">
      <w:bodyDiv w:val="1"/>
      <w:marLeft w:val="0"/>
      <w:marRight w:val="0"/>
      <w:marTop w:val="0"/>
      <w:marBottom w:val="0"/>
      <w:divBdr>
        <w:top w:val="none" w:sz="0" w:space="0" w:color="auto"/>
        <w:left w:val="none" w:sz="0" w:space="0" w:color="auto"/>
        <w:bottom w:val="none" w:sz="0" w:space="0" w:color="auto"/>
        <w:right w:val="none" w:sz="0" w:space="0" w:color="auto"/>
      </w:divBdr>
    </w:div>
    <w:div w:id="1987660108">
      <w:bodyDiv w:val="1"/>
      <w:marLeft w:val="0"/>
      <w:marRight w:val="0"/>
      <w:marTop w:val="0"/>
      <w:marBottom w:val="0"/>
      <w:divBdr>
        <w:top w:val="none" w:sz="0" w:space="0" w:color="auto"/>
        <w:left w:val="none" w:sz="0" w:space="0" w:color="auto"/>
        <w:bottom w:val="none" w:sz="0" w:space="0" w:color="auto"/>
        <w:right w:val="none" w:sz="0" w:space="0" w:color="auto"/>
      </w:divBdr>
    </w:div>
    <w:div w:id="2060088455">
      <w:bodyDiv w:val="1"/>
      <w:marLeft w:val="0"/>
      <w:marRight w:val="0"/>
      <w:marTop w:val="0"/>
      <w:marBottom w:val="0"/>
      <w:divBdr>
        <w:top w:val="none" w:sz="0" w:space="0" w:color="auto"/>
        <w:left w:val="none" w:sz="0" w:space="0" w:color="auto"/>
        <w:bottom w:val="none" w:sz="0" w:space="0" w:color="auto"/>
        <w:right w:val="none" w:sz="0" w:space="0" w:color="auto"/>
      </w:divBdr>
    </w:div>
    <w:div w:id="2067486938">
      <w:bodyDiv w:val="1"/>
      <w:marLeft w:val="0"/>
      <w:marRight w:val="0"/>
      <w:marTop w:val="0"/>
      <w:marBottom w:val="0"/>
      <w:divBdr>
        <w:top w:val="none" w:sz="0" w:space="0" w:color="auto"/>
        <w:left w:val="none" w:sz="0" w:space="0" w:color="auto"/>
        <w:bottom w:val="none" w:sz="0" w:space="0" w:color="auto"/>
        <w:right w:val="none" w:sz="0" w:space="0" w:color="auto"/>
      </w:divBdr>
    </w:div>
    <w:div w:id="2118015135">
      <w:bodyDiv w:val="1"/>
      <w:marLeft w:val="0"/>
      <w:marRight w:val="0"/>
      <w:marTop w:val="0"/>
      <w:marBottom w:val="0"/>
      <w:divBdr>
        <w:top w:val="none" w:sz="0" w:space="0" w:color="auto"/>
        <w:left w:val="none" w:sz="0" w:space="0" w:color="auto"/>
        <w:bottom w:val="none" w:sz="0" w:space="0" w:color="auto"/>
        <w:right w:val="none" w:sz="0" w:space="0" w:color="auto"/>
      </w:divBdr>
    </w:div>
    <w:div w:id="2119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66.3\OiF\TEHNI&#268;KI%20PODACI%202025\ZAVR&#352;NI%20RA&#268;UN%202024\FINANCIJSKO%20IZVJE&#352;&#262;E%20ZA%201-6.2024\Grafik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66.3\OiF\TEHNI&#268;KI%20PODACI%202025\ZAVR&#352;NI%20RA&#268;UN%202024\FINANCIJSKO%20IZVJE&#352;&#262;E%20ZA%201-6.2024\Grafik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hr-HR"/>
              <a:t>Usporedba</a:t>
            </a:r>
            <a:r>
              <a:rPr lang="hr-HR" baseline="0"/>
              <a:t> prihoda i  rashoda  za 2023. i 2024. godinu</a:t>
            </a:r>
            <a:endParaRPr lang="en-US"/>
          </a:p>
        </c:rich>
      </c:tx>
      <c:layout>
        <c:manualLayout>
          <c:xMode val="edge"/>
          <c:yMode val="edge"/>
          <c:x val="9.8180446194225723E-2"/>
          <c:y val="5.0925925925925923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067825896762905"/>
          <c:y val="0.25083333333333335"/>
          <c:w val="0.81432174103237098"/>
          <c:h val="0.5358639545056868"/>
        </c:manualLayout>
      </c:layout>
      <c:barChart>
        <c:barDir val="col"/>
        <c:grouping val="clustered"/>
        <c:varyColors val="0"/>
        <c:ser>
          <c:idx val="0"/>
          <c:order val="0"/>
          <c:tx>
            <c:strRef>
              <c:f>List1!$A$2</c:f>
              <c:strCache>
                <c:ptCount val="1"/>
                <c:pt idx="0">
                  <c:v>PRIHODI</c:v>
                </c:pt>
              </c:strCache>
            </c:strRef>
          </c:tx>
          <c:spPr>
            <a:solidFill>
              <a:schemeClr val="accent6"/>
            </a:solidFill>
            <a:ln>
              <a:noFill/>
            </a:ln>
            <a:effectLst/>
          </c:spPr>
          <c:invertIfNegative val="0"/>
          <c:cat>
            <c:numRef>
              <c:f>List1!$B$1:$C$1</c:f>
              <c:numCache>
                <c:formatCode>General</c:formatCode>
                <c:ptCount val="2"/>
                <c:pt idx="0">
                  <c:v>2023</c:v>
                </c:pt>
                <c:pt idx="1">
                  <c:v>2024</c:v>
                </c:pt>
              </c:numCache>
            </c:numRef>
          </c:cat>
          <c:val>
            <c:numRef>
              <c:f>List1!$B$2:$C$2</c:f>
              <c:numCache>
                <c:formatCode>#,##0.00</c:formatCode>
                <c:ptCount val="2"/>
                <c:pt idx="0">
                  <c:v>718312.84</c:v>
                </c:pt>
                <c:pt idx="1">
                  <c:v>825485.5</c:v>
                </c:pt>
              </c:numCache>
            </c:numRef>
          </c:val>
          <c:extLst>
            <c:ext xmlns:c16="http://schemas.microsoft.com/office/drawing/2014/chart" uri="{C3380CC4-5D6E-409C-BE32-E72D297353CC}">
              <c16:uniqueId val="{00000000-17F6-4C65-AA21-3FA51203A7FD}"/>
            </c:ext>
          </c:extLst>
        </c:ser>
        <c:ser>
          <c:idx val="1"/>
          <c:order val="1"/>
          <c:tx>
            <c:strRef>
              <c:f>List1!$A$3</c:f>
              <c:strCache>
                <c:ptCount val="1"/>
                <c:pt idx="0">
                  <c:v>RASHODI</c:v>
                </c:pt>
              </c:strCache>
            </c:strRef>
          </c:tx>
          <c:spPr>
            <a:solidFill>
              <a:schemeClr val="accent5"/>
            </a:solidFill>
            <a:ln>
              <a:noFill/>
            </a:ln>
            <a:effectLst/>
          </c:spPr>
          <c:invertIfNegative val="0"/>
          <c:cat>
            <c:numRef>
              <c:f>List1!$B$1:$C$1</c:f>
              <c:numCache>
                <c:formatCode>General</c:formatCode>
                <c:ptCount val="2"/>
                <c:pt idx="0">
                  <c:v>2023</c:v>
                </c:pt>
                <c:pt idx="1">
                  <c:v>2024</c:v>
                </c:pt>
              </c:numCache>
            </c:numRef>
          </c:cat>
          <c:val>
            <c:numRef>
              <c:f>List1!$B$3:$C$3</c:f>
              <c:numCache>
                <c:formatCode>#,##0.00</c:formatCode>
                <c:ptCount val="2"/>
                <c:pt idx="0">
                  <c:v>720666.94</c:v>
                </c:pt>
                <c:pt idx="1">
                  <c:v>737957.17</c:v>
                </c:pt>
              </c:numCache>
            </c:numRef>
          </c:val>
          <c:extLst>
            <c:ext xmlns:c16="http://schemas.microsoft.com/office/drawing/2014/chart" uri="{C3380CC4-5D6E-409C-BE32-E72D297353CC}">
              <c16:uniqueId val="{00000001-17F6-4C65-AA21-3FA51203A7FD}"/>
            </c:ext>
          </c:extLst>
        </c:ser>
        <c:dLbls>
          <c:showLegendKey val="0"/>
          <c:showVal val="0"/>
          <c:showCatName val="0"/>
          <c:showSerName val="0"/>
          <c:showPercent val="0"/>
          <c:showBubbleSize val="0"/>
        </c:dLbls>
        <c:gapWidth val="219"/>
        <c:overlap val="-27"/>
        <c:axId val="1272481807"/>
        <c:axId val="1272482223"/>
      </c:barChart>
      <c:catAx>
        <c:axId val="1272481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72482223"/>
        <c:crosses val="autoZero"/>
        <c:auto val="1"/>
        <c:lblAlgn val="ctr"/>
        <c:lblOffset val="100"/>
        <c:noMultiLvlLbl val="0"/>
      </c:catAx>
      <c:valAx>
        <c:axId val="12724822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272481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52904182551484"/>
          <c:y val="0.19914588609177541"/>
          <c:w val="0.78736514980938221"/>
          <c:h val="0.7179571803437400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18B-461C-865B-6703CEEB81C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18B-461C-865B-6703CEEB81C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18B-461C-865B-6703CEEB81C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18B-461C-865B-6703CEEB81C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18B-461C-865B-6703CEEB81C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18B-461C-865B-6703CEEB81C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18B-461C-865B-6703CEEB81CC}"/>
              </c:ext>
            </c:extLst>
          </c:dPt>
          <c:dLbls>
            <c:dLbl>
              <c:idx val="0"/>
              <c:layout>
                <c:manualLayout>
                  <c:x val="3.319501901159766E-2"/>
                  <c:y val="-1.54910083322108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8B-461C-865B-6703CEEB81CC}"/>
                </c:ext>
              </c:extLst>
            </c:dLbl>
            <c:dLbl>
              <c:idx val="1"/>
              <c:layout>
                <c:manualLayout>
                  <c:x val="-1.8589210646494689E-2"/>
                  <c:y val="2.655601428379004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8B-461C-865B-6703CEEB81CC}"/>
                </c:ext>
              </c:extLst>
            </c:dLbl>
            <c:dLbl>
              <c:idx val="2"/>
              <c:layout>
                <c:manualLayout>
                  <c:x val="-0.18572547716412355"/>
                  <c:y val="0.18993060902108819"/>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8B-461C-865B-6703CEEB81CC}"/>
                </c:ext>
              </c:extLst>
            </c:dLbl>
            <c:dLbl>
              <c:idx val="3"/>
              <c:layout>
                <c:manualLayout>
                  <c:x val="-0.13809127908824625"/>
                  <c:y val="-5.0899027377264254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8B-461C-865B-6703CEEB81CC}"/>
                </c:ext>
              </c:extLst>
            </c:dLbl>
            <c:dLbl>
              <c:idx val="4"/>
              <c:layout>
                <c:manualLayout>
                  <c:x val="1.7594466161153611E-2"/>
                  <c:y val="2.9034587170190959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3276768198709995"/>
                      <c:h val="0.24863460178932739"/>
                    </c:manualLayout>
                  </c15:layout>
                </c:ext>
                <c:ext xmlns:c16="http://schemas.microsoft.com/office/drawing/2014/chart" uri="{C3380CC4-5D6E-409C-BE32-E72D297353CC}">
                  <c16:uniqueId val="{00000009-018B-461C-865B-6703CEEB81CC}"/>
                </c:ext>
              </c:extLst>
            </c:dLbl>
            <c:dLbl>
              <c:idx val="5"/>
              <c:layout>
                <c:manualLayout>
                  <c:x val="7.1701241065050852E-2"/>
                  <c:y val="-4.647302499663257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8B-461C-865B-6703CEEB81CC}"/>
                </c:ext>
              </c:extLst>
            </c:dLbl>
            <c:dLbl>
              <c:idx val="6"/>
              <c:layout>
                <c:manualLayout>
                  <c:x val="0.21908712547654446"/>
                  <c:y val="-3.983402142568508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8B-461C-865B-6703CEEB81C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List1!$A$34:$A$40</c:f>
              <c:strCache>
                <c:ptCount val="6"/>
                <c:pt idx="0">
                  <c:v>Proračun Koprivničko-križevačke županije - redovno poslovanje i sufinanciranje EU projekata
34,17%</c:v>
                </c:pt>
                <c:pt idx="1">
                  <c:v>Prihodi iz Državnog proračuna temeljem prijenosa EU sredstava
52,00%</c:v>
                </c:pt>
                <c:pt idx="2">
                  <c:v>Prihodi od tekućih pomoći od institucija i tijela EU 7,65%</c:v>
                </c:pt>
                <c:pt idx="4">
                  <c:v>Proračun Koprivničko-križevačke županije - predfinanciranje EU projekata  6,04%</c:v>
                </c:pt>
                <c:pt idx="5">
                  <c:v>Prihodi po posebnim propisima 0,14%</c:v>
                </c:pt>
              </c:strCache>
            </c:strRef>
          </c:cat>
          <c:val>
            <c:numRef>
              <c:f>List1!$B$34:$B$40</c:f>
              <c:numCache>
                <c:formatCode>#,##0.00</c:formatCode>
                <c:ptCount val="7"/>
                <c:pt idx="0">
                  <c:v>282081.90000000002</c:v>
                </c:pt>
                <c:pt idx="1">
                  <c:v>429189.22</c:v>
                </c:pt>
                <c:pt idx="2">
                  <c:v>63173.54</c:v>
                </c:pt>
                <c:pt idx="4">
                  <c:v>49893.919999999998</c:v>
                </c:pt>
                <c:pt idx="5">
                  <c:v>1146.67</c:v>
                </c:pt>
              </c:numCache>
            </c:numRef>
          </c:val>
          <c:extLst>
            <c:ext xmlns:c16="http://schemas.microsoft.com/office/drawing/2014/chart" uri="{C3380CC4-5D6E-409C-BE32-E72D297353CC}">
              <c16:uniqueId val="{0000000E-018B-461C-865B-6703CEEB81C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245240633130466E-2"/>
          <c:y val="0.21229832624633715"/>
          <c:w val="0.842976767642036"/>
          <c:h val="0.7610656473617654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6A7-4285-B6D9-38D2A4C92AE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6A7-4285-B6D9-38D2A4C92AE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6A7-4285-B6D9-38D2A4C92AE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6A7-4285-B6D9-38D2A4C92AE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6A7-4285-B6D9-38D2A4C92AE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6A7-4285-B6D9-38D2A4C92AE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6A7-4285-B6D9-38D2A4C92AE6}"/>
              </c:ext>
            </c:extLst>
          </c:dPt>
          <c:dLbls>
            <c:dLbl>
              <c:idx val="0"/>
              <c:layout>
                <c:manualLayout>
                  <c:x val="2.6200873362445309E-2"/>
                  <c:y val="3.881610868510431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A7-4285-B6D9-38D2A4C92AE6}"/>
                </c:ext>
              </c:extLst>
            </c:dLbl>
            <c:dLbl>
              <c:idx val="1"/>
              <c:layout>
                <c:manualLayout>
                  <c:x val="-5.0946010329532936E-3"/>
                  <c:y val="4.4913263882966209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4908299589624771"/>
                      <c:h val="0.19584501439687488"/>
                    </c:manualLayout>
                  </c15:layout>
                </c:ext>
                <c:ext xmlns:c16="http://schemas.microsoft.com/office/drawing/2014/chart" uri="{C3380CC4-5D6E-409C-BE32-E72D297353CC}">
                  <c16:uniqueId val="{00000003-F6A7-4285-B6D9-38D2A4C92AE6}"/>
                </c:ext>
              </c:extLst>
            </c:dLbl>
            <c:dLbl>
              <c:idx val="2"/>
              <c:layout>
                <c:manualLayout>
                  <c:x val="-0.1965065502183406"/>
                  <c:y val="2.4260067928190197E-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A7-4285-B6D9-38D2A4C92AE6}"/>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7-F6A7-4285-B6D9-38D2A4C92AE6}"/>
                </c:ext>
              </c:extLst>
            </c:dLbl>
            <c:dLbl>
              <c:idx val="4"/>
              <c:layout>
                <c:manualLayout>
                  <c:x val="-7.4235807860262015E-2"/>
                  <c:y val="-4.8520091665723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5333333333333332"/>
                      <c:h val="7.5464515410862812E-2"/>
                    </c:manualLayout>
                  </c15:layout>
                </c:ext>
                <c:ext xmlns:c16="http://schemas.microsoft.com/office/drawing/2014/chart" uri="{C3380CC4-5D6E-409C-BE32-E72D297353CC}">
                  <c16:uniqueId val="{00000009-F6A7-4285-B6D9-38D2A4C92AE6}"/>
                </c:ext>
              </c:extLst>
            </c:dLbl>
            <c:dLbl>
              <c:idx val="5"/>
              <c:layout>
                <c:manualLayout>
                  <c:x val="6.7685589519650591E-2"/>
                  <c:y val="-5.2196135633932661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7.9730770553244151E-2"/>
                      <c:h val="9.5256547190276306E-2"/>
                    </c:manualLayout>
                  </c15:layout>
                </c:ext>
                <c:ext xmlns:c16="http://schemas.microsoft.com/office/drawing/2014/chart" uri="{C3380CC4-5D6E-409C-BE32-E72D297353CC}">
                  <c16:uniqueId val="{0000000B-F6A7-4285-B6D9-38D2A4C92AE6}"/>
                </c:ext>
              </c:extLst>
            </c:dLbl>
            <c:dLbl>
              <c:idx val="6"/>
              <c:layout>
                <c:manualLayout>
                  <c:x val="0.18558955760144408"/>
                  <c:y val="4.7578742302740618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7234349938491375"/>
                      <c:h val="0.17067656419185179"/>
                    </c:manualLayout>
                  </c15:layout>
                </c:ext>
                <c:ext xmlns:c16="http://schemas.microsoft.com/office/drawing/2014/chart" uri="{C3380CC4-5D6E-409C-BE32-E72D297353CC}">
                  <c16:uniqueId val="{0000000D-F6A7-4285-B6D9-38D2A4C92A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List1!$A$76:$A$82</c:f>
              <c:strCache>
                <c:ptCount val="7"/>
                <c:pt idx="0">
                  <c:v>Rashodi za zaposlene
74,13%</c:v>
                </c:pt>
                <c:pt idx="1">
                  <c:v>Materijalni rashodi
25,80%</c:v>
                </c:pt>
                <c:pt idx="6">
                  <c:v>Rashodi za nabavu nefinan. imovine  0,07%</c:v>
                </c:pt>
              </c:strCache>
            </c:strRef>
          </c:cat>
          <c:val>
            <c:numRef>
              <c:f>List1!$B$76:$B$82</c:f>
              <c:numCache>
                <c:formatCode>#,##0.00</c:formatCode>
                <c:ptCount val="7"/>
                <c:pt idx="0">
                  <c:v>547085.5</c:v>
                </c:pt>
                <c:pt idx="1">
                  <c:v>190374.17</c:v>
                </c:pt>
                <c:pt idx="6">
                  <c:v>497.5</c:v>
                </c:pt>
              </c:numCache>
            </c:numRef>
          </c:val>
          <c:extLst>
            <c:ext xmlns:c16="http://schemas.microsoft.com/office/drawing/2014/chart" uri="{C3380CC4-5D6E-409C-BE32-E72D297353CC}">
              <c16:uniqueId val="{0000000E-F6A7-4285-B6D9-38D2A4C92AE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191277016298877E-2"/>
          <c:y val="0.16708809032615779"/>
          <c:w val="0.82698918807988508"/>
          <c:h val="0.751626288483487"/>
        </c:manualLayout>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D60-464C-9D9C-C8CEF48544B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D60-464C-9D9C-C8CEF48544B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D60-464C-9D9C-C8CEF48544BB}"/>
              </c:ext>
            </c:extLst>
          </c:dPt>
          <c:dLbls>
            <c:dLbl>
              <c:idx val="0"/>
              <c:layout>
                <c:manualLayout>
                  <c:x val="0"/>
                  <c:y val="-2.05761316872428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60-464C-9D9C-C8CEF48544BB}"/>
                </c:ext>
              </c:extLst>
            </c:dLbl>
            <c:dLbl>
              <c:idx val="1"/>
              <c:layout>
                <c:manualLayout>
                  <c:x val="1.0973936899862825E-2"/>
                  <c:y val="-1.82898948331047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60-464C-9D9C-C8CEF48544BB}"/>
                </c:ext>
              </c:extLst>
            </c:dLbl>
            <c:dLbl>
              <c:idx val="2"/>
              <c:layout>
                <c:manualLayout>
                  <c:x val="-1.2345679012345678E-2"/>
                  <c:y val="9.144947416552355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60-464C-9D9C-C8CEF48544BB}"/>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List1!$A$122:$A$124</c:f>
              <c:strCache>
                <c:ptCount val="3"/>
                <c:pt idx="0">
                  <c:v>Redovna djelatnost - Proračun KKŽ
21,79%</c:v>
                </c:pt>
                <c:pt idx="1">
                  <c:v>EU projekti - sufinanciranje Proračun KKŽ 
10,31%</c:v>
                </c:pt>
                <c:pt idx="2">
                  <c:v>EU projekti - bespovratna EU sredstva
67,90%</c:v>
                </c:pt>
              </c:strCache>
            </c:strRef>
          </c:cat>
          <c:val>
            <c:numRef>
              <c:f>List1!$B$122:$B$124</c:f>
              <c:numCache>
                <c:formatCode>#,##0.00</c:formatCode>
                <c:ptCount val="3"/>
                <c:pt idx="0">
                  <c:v>119248.51</c:v>
                </c:pt>
                <c:pt idx="1">
                  <c:v>56426.46</c:v>
                </c:pt>
                <c:pt idx="2">
                  <c:v>371410.53</c:v>
                </c:pt>
              </c:numCache>
            </c:numRef>
          </c:val>
          <c:extLst>
            <c:ext xmlns:c16="http://schemas.microsoft.com/office/drawing/2014/chart" uri="{C3380CC4-5D6E-409C-BE32-E72D297353CC}">
              <c16:uniqueId val="{00000006-6D60-464C-9D9C-C8CEF48544B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558130548256721E-2"/>
          <c:y val="0.16848738123761886"/>
          <c:w val="0.79970920578514271"/>
          <c:h val="0.72449061311771901"/>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F34-4408-A392-C28451DDB51B}"/>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F34-4408-A392-C28451DDB51B}"/>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F34-4408-A392-C28451DDB51B}"/>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F34-4408-A392-C28451DDB51B}"/>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F34-4408-A392-C28451DDB51B}"/>
              </c:ext>
            </c:extLst>
          </c:dPt>
          <c:dLbls>
            <c:dLbl>
              <c:idx val="0"/>
              <c:layout>
                <c:manualLayout>
                  <c:x val="2.0456701487310231E-2"/>
                  <c:y val="-3.56699884833715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34-4408-A392-C28451DDB51B}"/>
                </c:ext>
              </c:extLst>
            </c:dLbl>
            <c:dLbl>
              <c:idx val="1"/>
              <c:layout>
                <c:manualLayout>
                  <c:x val="6.6901640349707582E-3"/>
                  <c:y val="-4.412184020144339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34-4408-A392-C28451DDB51B}"/>
                </c:ext>
              </c:extLst>
            </c:dLbl>
            <c:dLbl>
              <c:idx val="2"/>
              <c:layout>
                <c:manualLayout>
                  <c:x val="-8.6767885998384926E-3"/>
                  <c:y val="2.40023934355154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34-4408-A392-C28451DDB51B}"/>
                </c:ext>
              </c:extLst>
            </c:dLbl>
            <c:dLbl>
              <c:idx val="3"/>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lumMod val="60000"/>
                        </a:schemeClr>
                      </a:solidFill>
                      <a:latin typeface="+mn-lt"/>
                      <a:ea typeface="+mn-ea"/>
                      <a:cs typeface="+mn-cs"/>
                    </a:defRPr>
                  </a:pPr>
                  <a:endParaRPr lang="sr-Latn-RS"/>
                </a:p>
              </c:txPr>
              <c:dLblPos val="outEnd"/>
              <c:showLegendKey val="0"/>
              <c:showVal val="0"/>
              <c:showCatName val="1"/>
              <c:showSerName val="0"/>
              <c:showPercent val="0"/>
              <c:showBubbleSize val="0"/>
              <c:extLst>
                <c:ext xmlns:c15="http://schemas.microsoft.com/office/drawing/2012/chart" uri="{CE6537A1-D6FC-4f65-9D91-7224C49458BB}">
                  <c15:layout>
                    <c:manualLayout>
                      <c:w val="0.20940607274522768"/>
                      <c:h val="0.27282901554404143"/>
                    </c:manualLayout>
                  </c15:layout>
                </c:ext>
                <c:ext xmlns:c16="http://schemas.microsoft.com/office/drawing/2014/chart" uri="{C3380CC4-5D6E-409C-BE32-E72D297353CC}">
                  <c16:uniqueId val="{00000007-6F34-4408-A392-C28451DDB51B}"/>
                </c:ext>
              </c:extLst>
            </c:dLbl>
            <c:dLbl>
              <c:idx val="4"/>
              <c:layout>
                <c:manualLayout>
                  <c:x val="0.17193366146094127"/>
                  <c:y val="6.5276814491445336E-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21997571320646736"/>
                      <c:h val="0.20151311655991189"/>
                    </c:manualLayout>
                  </c15:layout>
                </c:ext>
                <c:ext xmlns:c16="http://schemas.microsoft.com/office/drawing/2014/chart" uri="{C3380CC4-5D6E-409C-BE32-E72D297353CC}">
                  <c16:uniqueId val="{00000009-6F34-4408-A392-C28451DDB51B}"/>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[Grafikon.xlsx]List1!$A$97:$A$101</c:f>
              <c:strCache>
                <c:ptCount val="5"/>
                <c:pt idx="0">
                  <c:v>Naknade troškova zaposlenima
18,33%</c:v>
                </c:pt>
                <c:pt idx="1">
                  <c:v>Rashodi za materijal i energiju
7,99%</c:v>
                </c:pt>
                <c:pt idx="2">
                  <c:v>Rashodi za usluge
63,12%</c:v>
                </c:pt>
                <c:pt idx="3">
                  <c:v>Naknade troškova osobama izvan radnog odnosa 3,82%</c:v>
                </c:pt>
                <c:pt idx="4">
                  <c:v>Ostali nespomenuti rashodi
6,74%</c:v>
                </c:pt>
              </c:strCache>
            </c:strRef>
          </c:cat>
          <c:val>
            <c:numRef>
              <c:f>[Grafikon.xlsx]List1!$B$97:$B$101</c:f>
              <c:numCache>
                <c:formatCode>#,##0.00</c:formatCode>
                <c:ptCount val="5"/>
                <c:pt idx="0">
                  <c:v>34903.919999999998</c:v>
                </c:pt>
                <c:pt idx="1">
                  <c:v>15200.52</c:v>
                </c:pt>
                <c:pt idx="2">
                  <c:v>120164.88</c:v>
                </c:pt>
                <c:pt idx="3">
                  <c:v>7277.15</c:v>
                </c:pt>
                <c:pt idx="4">
                  <c:v>12827.7</c:v>
                </c:pt>
              </c:numCache>
            </c:numRef>
          </c:val>
          <c:extLst>
            <c:ext xmlns:c16="http://schemas.microsoft.com/office/drawing/2014/chart" uri="{C3380CC4-5D6E-409C-BE32-E72D297353CC}">
              <c16:uniqueId val="{0000000A-6F34-4408-A392-C28451DDB51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353A-F003-471D-BE8B-ED73B581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11819</Words>
  <Characters>67374</Characters>
  <Application>Microsoft Office Word</Application>
  <DocSecurity>0</DocSecurity>
  <Lines>561</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Jelak PORA KKŽ</dc:creator>
  <cp:keywords/>
  <dc:description/>
  <cp:lastModifiedBy>PORA KKŽ</cp:lastModifiedBy>
  <cp:revision>107</cp:revision>
  <cp:lastPrinted>2025-02-27T12:18:00Z</cp:lastPrinted>
  <dcterms:created xsi:type="dcterms:W3CDTF">2025-02-12T06:11:00Z</dcterms:created>
  <dcterms:modified xsi:type="dcterms:W3CDTF">2025-02-28T08:00:00Z</dcterms:modified>
</cp:coreProperties>
</file>