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90BE" w14:textId="1A24BD87" w:rsidR="00803102" w:rsidRPr="006A2B0F" w:rsidRDefault="00803102" w:rsidP="00803102">
      <w:pPr>
        <w:pStyle w:val="BodyTex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6472273"/>
      <w:bookmarkStart w:id="1" w:name="_Hlk107914020"/>
      <w:r w:rsidRPr="006A2B0F">
        <w:rPr>
          <w:rFonts w:ascii="Times New Roman" w:hAnsi="Times New Roman" w:cs="Times New Roman"/>
          <w:sz w:val="24"/>
          <w:szCs w:val="24"/>
        </w:rPr>
        <w:t xml:space="preserve">Na temelju članaka 81. i 86. </w:t>
      </w:r>
      <w:r w:rsidRPr="006A2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2B0F">
        <w:rPr>
          <w:rFonts w:ascii="Times New Roman" w:hAnsi="Times New Roman" w:cs="Times New Roman"/>
          <w:sz w:val="24"/>
          <w:szCs w:val="24"/>
        </w:rPr>
        <w:t>Zakona o proračunu („Narodne novine“ broj 144/21.) i članka</w:t>
      </w:r>
      <w:r w:rsidRPr="006A2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 xml:space="preserve">19.  Statuta PORE Regionalne razvojne agencije Koprivničko-križevačke županije </w:t>
      </w:r>
      <w:r w:rsidRPr="006A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021-01/07-01/01, URBROJ: 2137-25-07-02, KLASA: 021-06/09-01/01, URBROJ: 2137-25-09-02, KLASA: 021-06/11-01/01, URBROJ: 2137-25-11-03 od 19. rujna 2011., KLASA: 021-06/11-01/01, URBROJ: 2137-25-11-03 od 29. prosinca 2011, KLASA: 021-06/12-01/01, URBROJ: 2137-25-12-03, KLASA: 021-06/13-01/11, URBROJ: 2137-25-13-05, 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 xml:space="preserve">KLASA: 021-06/14-01/07, URBROJ: 2137-25-14-03, KLASA: 021-06/15-01/08, URBROJ: 2137-25-15-03, KLASA: 021-06/18-01/12, URBROJ: 2137-25-18-05 Upravno vijeće PORE Regionalne razvojne agencije Koprivničko-križevačke županije na </w:t>
      </w:r>
      <w:r w:rsidR="00E05D73" w:rsidRPr="006A2B0F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014D1F" w:rsidRPr="006A2B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319D" w:rsidRPr="006A2B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7B75" w:rsidRPr="006A2B0F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05D73" w:rsidRPr="006A2B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 xml:space="preserve">. godine donosi   </w:t>
      </w:r>
    </w:p>
    <w:p w14:paraId="7EBD99F1" w14:textId="77777777" w:rsidR="00803102" w:rsidRPr="006A2B0F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7B959" w14:textId="77777777" w:rsidR="00803102" w:rsidRPr="006A2B0F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E5C7A" w14:textId="6BED5734" w:rsidR="00803102" w:rsidRPr="006A2B0F" w:rsidRDefault="009005FF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B0F">
        <w:rPr>
          <w:rFonts w:ascii="Times New Roman" w:eastAsia="Times New Roman" w:hAnsi="Times New Roman" w:cs="Times New Roman"/>
          <w:b/>
          <w:bCs/>
          <w:sz w:val="28"/>
          <w:szCs w:val="28"/>
        </w:rPr>
        <w:t>IZVJEŠĆE O RADU I</w:t>
      </w:r>
      <w:r w:rsidR="00803102" w:rsidRPr="006A2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IZVRŠENJU FINANCIJSKOG PLANA</w:t>
      </w:r>
    </w:p>
    <w:p w14:paraId="06CEA9A9" w14:textId="4D014881" w:rsidR="00803102" w:rsidRPr="006A2B0F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B0F">
        <w:rPr>
          <w:rFonts w:ascii="Times New Roman" w:eastAsia="Times New Roman" w:hAnsi="Times New Roman" w:cs="Times New Roman"/>
          <w:b/>
          <w:bCs/>
          <w:sz w:val="28"/>
          <w:szCs w:val="28"/>
        </w:rPr>
        <w:t>PORE REGIONALNE RAZVOJNE AGENCIJE KOPRIVNIČKO-KRIŽEVAČKE ŽUPANIJE ZA 202</w:t>
      </w:r>
      <w:r w:rsidR="004E3603" w:rsidRPr="006A2B0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A2B0F">
        <w:rPr>
          <w:rFonts w:ascii="Times New Roman" w:eastAsia="Times New Roman" w:hAnsi="Times New Roman" w:cs="Times New Roman"/>
          <w:b/>
          <w:bCs/>
          <w:sz w:val="28"/>
          <w:szCs w:val="28"/>
        </w:rPr>
        <w:t>. GODINU</w:t>
      </w:r>
    </w:p>
    <w:p w14:paraId="414F7D41" w14:textId="77777777" w:rsidR="00803102" w:rsidRPr="006A2B0F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4D89A" w14:textId="0DBE555D" w:rsidR="00803102" w:rsidRPr="006A2B0F" w:rsidRDefault="001D5521" w:rsidP="001D5521">
      <w:pPr>
        <w:pStyle w:val="Body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803102" w:rsidRPr="006A2B0F">
        <w:rPr>
          <w:rFonts w:ascii="Times New Roman" w:eastAsia="Times New Roman" w:hAnsi="Times New Roman" w:cs="Times New Roman"/>
          <w:b/>
          <w:bCs/>
          <w:sz w:val="28"/>
          <w:szCs w:val="28"/>
        </w:rPr>
        <w:t>OPĆI DIO</w:t>
      </w:r>
    </w:p>
    <w:p w14:paraId="3BB5465D" w14:textId="77777777" w:rsidR="00803102" w:rsidRPr="006A2B0F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B0F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345938C0" w14:textId="77777777" w:rsidR="00803102" w:rsidRPr="006A2B0F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2FBDC" w14:textId="5A23662C" w:rsidR="00803102" w:rsidRPr="006A2B0F" w:rsidRDefault="00803102" w:rsidP="00803102">
      <w:pPr>
        <w:pStyle w:val="BodyTex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B0F">
        <w:rPr>
          <w:rFonts w:ascii="Times New Roman" w:eastAsia="Times New Roman" w:hAnsi="Times New Roman" w:cs="Times New Roman"/>
          <w:sz w:val="24"/>
          <w:szCs w:val="24"/>
        </w:rPr>
        <w:t>Financijski plan PORE Regionalne razvojne agencije Koprivničko-križevačke županije za 202</w:t>
      </w:r>
      <w:r w:rsidR="004E3603" w:rsidRPr="006A2B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>. godinu i projekcije za 202</w:t>
      </w:r>
      <w:r w:rsidR="004E3603" w:rsidRPr="006A2B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4E3603" w:rsidRPr="006A2B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>. godinu, u 202</w:t>
      </w:r>
      <w:r w:rsidR="004E3603" w:rsidRPr="006A2B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B0F">
        <w:rPr>
          <w:rFonts w:ascii="Times New Roman" w:eastAsia="Times New Roman" w:hAnsi="Times New Roman" w:cs="Times New Roman"/>
          <w:sz w:val="24"/>
          <w:szCs w:val="24"/>
        </w:rPr>
        <w:t>. godini ostvaren je kako slijedi:</w:t>
      </w:r>
    </w:p>
    <w:tbl>
      <w:tblPr>
        <w:tblStyle w:val="TableGrid"/>
        <w:tblW w:w="9508" w:type="dxa"/>
        <w:jc w:val="center"/>
        <w:tblLook w:val="04A0" w:firstRow="1" w:lastRow="0" w:firstColumn="1" w:lastColumn="0" w:noHBand="0" w:noVBand="1"/>
      </w:tblPr>
      <w:tblGrid>
        <w:gridCol w:w="2344"/>
        <w:gridCol w:w="1611"/>
        <w:gridCol w:w="1656"/>
        <w:gridCol w:w="1464"/>
        <w:gridCol w:w="1187"/>
        <w:gridCol w:w="1236"/>
        <w:gridCol w:w="10"/>
      </w:tblGrid>
      <w:tr w:rsidR="0098448A" w:rsidRPr="006A2B0F" w14:paraId="00E8FF2B" w14:textId="77777777" w:rsidTr="00554E7D">
        <w:trPr>
          <w:gridAfter w:val="1"/>
          <w:wAfter w:w="11" w:type="dxa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E5062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Račun/opis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582A0133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Ostvarenje/</w:t>
            </w:r>
          </w:p>
          <w:p w14:paraId="5E7CE51B" w14:textId="567D4EED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202</w:t>
            </w:r>
            <w:r w:rsidR="004E360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786E2601" w14:textId="1E27B520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</w:t>
            </w:r>
            <w:r w:rsidR="00A6581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/tekući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plan 202</w:t>
            </w:r>
            <w:r w:rsidR="004E360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34B4F57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Ostvarenje/</w:t>
            </w:r>
          </w:p>
          <w:p w14:paraId="1D39AEE0" w14:textId="5247222A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202</w:t>
            </w:r>
            <w:r w:rsidR="004E360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48F6764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</w:t>
            </w:r>
          </w:p>
          <w:p w14:paraId="322476C2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4/2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ECB8B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</w:t>
            </w:r>
          </w:p>
          <w:p w14:paraId="0376D57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4/3</w:t>
            </w:r>
          </w:p>
        </w:tc>
      </w:tr>
      <w:tr w:rsidR="0098448A" w:rsidRPr="006A2B0F" w14:paraId="6762713F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0591D789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659" w:type="dxa"/>
          </w:tcPr>
          <w:p w14:paraId="47065E1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476" w:type="dxa"/>
          </w:tcPr>
          <w:p w14:paraId="5A555E7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476" w:type="dxa"/>
          </w:tcPr>
          <w:p w14:paraId="1816440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205" w:type="dxa"/>
          </w:tcPr>
          <w:p w14:paraId="293D05A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</w:tcPr>
          <w:p w14:paraId="250FBA1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</w:tr>
      <w:tr w:rsidR="007B1B7A" w:rsidRPr="006A2B0F" w14:paraId="6DE07F1B" w14:textId="77777777" w:rsidTr="005F43CC">
        <w:trPr>
          <w:jc w:val="center"/>
        </w:trPr>
        <w:tc>
          <w:tcPr>
            <w:tcW w:w="9508" w:type="dxa"/>
            <w:gridSpan w:val="7"/>
          </w:tcPr>
          <w:p w14:paraId="469F71E0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A. RAČUN PRIHODA I RASHODA</w:t>
            </w:r>
          </w:p>
        </w:tc>
      </w:tr>
      <w:tr w:rsidR="0098448A" w:rsidRPr="006A2B0F" w14:paraId="1761ADA9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58791BC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1659" w:type="dxa"/>
            <w:shd w:val="clear" w:color="auto" w:fill="auto"/>
          </w:tcPr>
          <w:p w14:paraId="392A9926" w14:textId="30244AFD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639.666,03</w:t>
            </w:r>
          </w:p>
        </w:tc>
        <w:tc>
          <w:tcPr>
            <w:tcW w:w="1476" w:type="dxa"/>
          </w:tcPr>
          <w:p w14:paraId="32421F12" w14:textId="674C5C4E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901.296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</w:tcPr>
          <w:p w14:paraId="2DAECE55" w14:textId="4DC89E93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719.312,84</w:t>
            </w:r>
          </w:p>
        </w:tc>
        <w:tc>
          <w:tcPr>
            <w:tcW w:w="1205" w:type="dxa"/>
          </w:tcPr>
          <w:p w14:paraId="262E4FB9" w14:textId="2C3FDD5A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112,45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</w:tcPr>
          <w:p w14:paraId="59B53290" w14:textId="1A2BCE48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79,81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98448A" w:rsidRPr="006A2B0F" w14:paraId="38856251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194FDCBA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od prodaje nefinancijske imovine</w:t>
            </w:r>
          </w:p>
        </w:tc>
        <w:tc>
          <w:tcPr>
            <w:tcW w:w="1659" w:type="dxa"/>
            <w:vAlign w:val="center"/>
          </w:tcPr>
          <w:p w14:paraId="27D3851E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78A6968D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29EAAA71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2A997769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C86C020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98448A" w:rsidRPr="006A2B0F" w14:paraId="27C291A4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70199D55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PRIHODI</w:t>
            </w:r>
          </w:p>
        </w:tc>
        <w:tc>
          <w:tcPr>
            <w:tcW w:w="1659" w:type="dxa"/>
            <w:vAlign w:val="center"/>
          </w:tcPr>
          <w:p w14:paraId="21B5B2E7" w14:textId="6B06A58A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639.666,03</w:t>
            </w:r>
          </w:p>
        </w:tc>
        <w:tc>
          <w:tcPr>
            <w:tcW w:w="1476" w:type="dxa"/>
            <w:vAlign w:val="center"/>
          </w:tcPr>
          <w:p w14:paraId="529D067B" w14:textId="439B9D1B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901.296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  <w:vAlign w:val="center"/>
          </w:tcPr>
          <w:p w14:paraId="6D0E9038" w14:textId="58DAAADE" w:rsidR="00803102" w:rsidRPr="006A2B0F" w:rsidRDefault="005F43CC" w:rsidP="009C35EC">
            <w:pPr>
              <w:tabs>
                <w:tab w:val="left" w:pos="12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B34A29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719.312,84</w:t>
            </w:r>
          </w:p>
        </w:tc>
        <w:tc>
          <w:tcPr>
            <w:tcW w:w="1205" w:type="dxa"/>
            <w:vAlign w:val="center"/>
          </w:tcPr>
          <w:p w14:paraId="62BFB7FE" w14:textId="7CE7CE37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112,45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vAlign w:val="center"/>
          </w:tcPr>
          <w:p w14:paraId="70026AA8" w14:textId="0D62C6D4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79,81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98448A" w:rsidRPr="006A2B0F" w14:paraId="270DEF71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6E59F58D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659" w:type="dxa"/>
          </w:tcPr>
          <w:p w14:paraId="0C2E0C2D" w14:textId="766EE246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575.996,15</w:t>
            </w:r>
          </w:p>
        </w:tc>
        <w:tc>
          <w:tcPr>
            <w:tcW w:w="1476" w:type="dxa"/>
          </w:tcPr>
          <w:p w14:paraId="5D95C7D4" w14:textId="48108032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875.081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</w:tcPr>
          <w:p w14:paraId="561FF3AB" w14:textId="3CCCBEFA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707.184,24</w:t>
            </w:r>
          </w:p>
        </w:tc>
        <w:tc>
          <w:tcPr>
            <w:tcW w:w="1205" w:type="dxa"/>
          </w:tcPr>
          <w:p w14:paraId="22D3D74A" w14:textId="276752F6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6711E9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22,7</w:t>
            </w:r>
            <w:r w:rsidR="00042258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</w:tcPr>
          <w:p w14:paraId="33F70880" w14:textId="18A86D2C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80,81%</w:t>
            </w:r>
          </w:p>
        </w:tc>
      </w:tr>
      <w:tr w:rsidR="0098448A" w:rsidRPr="006A2B0F" w14:paraId="72BCDEA6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5CA78CD4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659" w:type="dxa"/>
            <w:vAlign w:val="center"/>
          </w:tcPr>
          <w:p w14:paraId="22D2857F" w14:textId="47EF351B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15.648,56</w:t>
            </w:r>
          </w:p>
        </w:tc>
        <w:tc>
          <w:tcPr>
            <w:tcW w:w="1476" w:type="dxa"/>
            <w:vAlign w:val="center"/>
          </w:tcPr>
          <w:p w14:paraId="015822DF" w14:textId="11D339EA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18.930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  <w:vAlign w:val="center"/>
          </w:tcPr>
          <w:p w14:paraId="2D3E6E4C" w14:textId="2AE68F10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13.482,70</w:t>
            </w:r>
          </w:p>
        </w:tc>
        <w:tc>
          <w:tcPr>
            <w:tcW w:w="1205" w:type="dxa"/>
            <w:vAlign w:val="center"/>
          </w:tcPr>
          <w:p w14:paraId="4F1A36AC" w14:textId="39A33335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86,16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vAlign w:val="center"/>
          </w:tcPr>
          <w:p w14:paraId="3BB03A64" w14:textId="28CFE9B1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71,22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98448A" w:rsidRPr="006A2B0F" w14:paraId="1333F79C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52B67BB7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RASHODI</w:t>
            </w:r>
          </w:p>
        </w:tc>
        <w:tc>
          <w:tcPr>
            <w:tcW w:w="1659" w:type="dxa"/>
            <w:vAlign w:val="center"/>
          </w:tcPr>
          <w:p w14:paraId="3DB50D99" w14:textId="33D8FE64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591.644,71</w:t>
            </w:r>
          </w:p>
        </w:tc>
        <w:tc>
          <w:tcPr>
            <w:tcW w:w="1476" w:type="dxa"/>
            <w:vAlign w:val="center"/>
          </w:tcPr>
          <w:p w14:paraId="65D7728F" w14:textId="64C4448B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894.011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  <w:vAlign w:val="center"/>
          </w:tcPr>
          <w:p w14:paraId="1552B8D6" w14:textId="4FC24E80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720.666,94</w:t>
            </w:r>
          </w:p>
        </w:tc>
        <w:tc>
          <w:tcPr>
            <w:tcW w:w="1205" w:type="dxa"/>
            <w:vAlign w:val="center"/>
          </w:tcPr>
          <w:p w14:paraId="218997E6" w14:textId="1EFBF707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121,81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vAlign w:val="center"/>
          </w:tcPr>
          <w:p w14:paraId="36952833" w14:textId="24CC6BE4" w:rsidR="00803102" w:rsidRPr="006A2B0F" w:rsidRDefault="006711E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80,61%</w:t>
            </w:r>
          </w:p>
        </w:tc>
      </w:tr>
      <w:tr w:rsidR="0098448A" w:rsidRPr="006A2B0F" w14:paraId="51AB56EB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4BAECF4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VIŠAK/-MANJAK</w:t>
            </w:r>
          </w:p>
        </w:tc>
        <w:tc>
          <w:tcPr>
            <w:tcW w:w="1659" w:type="dxa"/>
          </w:tcPr>
          <w:p w14:paraId="0C537639" w14:textId="0BFCE1CA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48.021,32</w:t>
            </w:r>
          </w:p>
        </w:tc>
        <w:tc>
          <w:tcPr>
            <w:tcW w:w="1476" w:type="dxa"/>
          </w:tcPr>
          <w:p w14:paraId="78EB137D" w14:textId="63DF1AA0" w:rsidR="00803102" w:rsidRPr="006A2B0F" w:rsidRDefault="00B34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7.285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</w:tcPr>
          <w:p w14:paraId="6D5797BF" w14:textId="587E7419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-1.354,10</w:t>
            </w:r>
          </w:p>
        </w:tc>
        <w:tc>
          <w:tcPr>
            <w:tcW w:w="1205" w:type="dxa"/>
          </w:tcPr>
          <w:p w14:paraId="5465659C" w14:textId="4A34AE03" w:rsidR="00803102" w:rsidRPr="006A2B0F" w:rsidRDefault="0098448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-2,82</w:t>
            </w:r>
          </w:p>
        </w:tc>
        <w:tc>
          <w:tcPr>
            <w:tcW w:w="1276" w:type="dxa"/>
          </w:tcPr>
          <w:p w14:paraId="50F7E8D0" w14:textId="010D55B4" w:rsidR="00803102" w:rsidRPr="006A2B0F" w:rsidRDefault="005F43CC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98448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18,59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7B1B7A" w:rsidRPr="006A2B0F" w14:paraId="6540E5DB" w14:textId="77777777" w:rsidTr="005F43CC">
        <w:trPr>
          <w:jc w:val="center"/>
        </w:trPr>
        <w:tc>
          <w:tcPr>
            <w:tcW w:w="9508" w:type="dxa"/>
            <w:gridSpan w:val="7"/>
          </w:tcPr>
          <w:p w14:paraId="353249AB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B. RAČUN FINANCIRANJA</w:t>
            </w:r>
          </w:p>
        </w:tc>
      </w:tr>
      <w:tr w:rsidR="0098448A" w:rsidRPr="006A2B0F" w14:paraId="5E6FB858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05BF005E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Primici od financijske imovine i zaduživanja</w:t>
            </w:r>
          </w:p>
        </w:tc>
        <w:tc>
          <w:tcPr>
            <w:tcW w:w="1659" w:type="dxa"/>
            <w:vAlign w:val="center"/>
          </w:tcPr>
          <w:p w14:paraId="0B7DC8A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7387727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2E3F9AEC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5927191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BFA5A8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98448A" w:rsidRPr="006A2B0F" w14:paraId="5F3B083B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7EFFF6D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Izdaci za financijsku imovinu i otplate zajmova</w:t>
            </w:r>
          </w:p>
        </w:tc>
        <w:tc>
          <w:tcPr>
            <w:tcW w:w="1659" w:type="dxa"/>
            <w:vAlign w:val="center"/>
          </w:tcPr>
          <w:p w14:paraId="3CAE4F8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062DE6C2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29FA457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0148C24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F51C68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98448A" w:rsidRPr="006A2B0F" w14:paraId="3AA50CFA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76B7B225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NETO FINANCIRANJE</w:t>
            </w:r>
          </w:p>
        </w:tc>
        <w:tc>
          <w:tcPr>
            <w:tcW w:w="1659" w:type="dxa"/>
            <w:vAlign w:val="center"/>
          </w:tcPr>
          <w:p w14:paraId="003A392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54AFE6AF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7B31AD0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3BC7CB8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AD78F6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7B1B7A" w:rsidRPr="006A2B0F" w14:paraId="4EBC95AF" w14:textId="77777777" w:rsidTr="005F43CC">
        <w:trPr>
          <w:jc w:val="center"/>
        </w:trPr>
        <w:tc>
          <w:tcPr>
            <w:tcW w:w="9508" w:type="dxa"/>
            <w:gridSpan w:val="7"/>
          </w:tcPr>
          <w:p w14:paraId="68EFB340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C. RASPOLOŽIVA SREDSTVA IZ PRETHODNIH GODINA</w:t>
            </w:r>
          </w:p>
        </w:tc>
      </w:tr>
      <w:tr w:rsidR="0098448A" w:rsidRPr="006A2B0F" w14:paraId="07714120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</w:tcPr>
          <w:p w14:paraId="33C748F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Preneseni višak/manjak prethodnih godina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F4634BE" w14:textId="45D7412B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7B1B7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55.305,5</w:t>
            </w:r>
            <w:r w:rsidR="0098448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476" w:type="dxa"/>
            <w:vAlign w:val="center"/>
          </w:tcPr>
          <w:p w14:paraId="43624C24" w14:textId="779D8B3E" w:rsidR="00803102" w:rsidRPr="006A2B0F" w:rsidRDefault="0098448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7.285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  <w:vAlign w:val="center"/>
          </w:tcPr>
          <w:p w14:paraId="2D0FE94E" w14:textId="1D5E6A30" w:rsidR="00803102" w:rsidRPr="006A2B0F" w:rsidRDefault="0057355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98448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64.812,11</w:t>
            </w:r>
          </w:p>
        </w:tc>
        <w:tc>
          <w:tcPr>
            <w:tcW w:w="1205" w:type="dxa"/>
            <w:vAlign w:val="center"/>
          </w:tcPr>
          <w:p w14:paraId="56762236" w14:textId="66B32A0A" w:rsidR="00803102" w:rsidRPr="006A2B0F" w:rsidRDefault="0098448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117,19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vAlign w:val="center"/>
          </w:tcPr>
          <w:p w14:paraId="0D0B5965" w14:textId="2D47679F" w:rsidR="00803102" w:rsidRPr="006A2B0F" w:rsidRDefault="005F43CC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98448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889,66%</w:t>
            </w:r>
          </w:p>
        </w:tc>
      </w:tr>
      <w:tr w:rsidR="0098448A" w:rsidRPr="006A2B0F" w14:paraId="474837AE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1EDC1C67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Višak/manjak za pokriće u narednom razdoblju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6299" w14:textId="2DB5A0E3" w:rsidR="00803102" w:rsidRPr="006A2B0F" w:rsidRDefault="007B1B7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-7.284,2</w:t>
            </w:r>
            <w:r w:rsidR="0098448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43E576DA" w14:textId="71F3B3D8" w:rsidR="00803102" w:rsidRPr="006A2B0F" w:rsidRDefault="0098448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7.285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550D58FE" w14:textId="3FD826DE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98448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66.166,21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C1BF345" w14:textId="0260ADC2" w:rsidR="00803102" w:rsidRPr="006A2B0F" w:rsidRDefault="0098448A" w:rsidP="00C604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908,34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508697" w14:textId="275F05DF" w:rsidR="00803102" w:rsidRPr="006A2B0F" w:rsidRDefault="005F43CC" w:rsidP="00C604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98448A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908.25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98448A" w:rsidRPr="006A2B0F" w14:paraId="76A98AA0" w14:textId="77777777" w:rsidTr="005F43CC">
        <w:trPr>
          <w:gridAfter w:val="1"/>
          <w:wAfter w:w="11" w:type="dxa"/>
          <w:jc w:val="center"/>
        </w:trPr>
        <w:tc>
          <w:tcPr>
            <w:tcW w:w="2405" w:type="dxa"/>
            <w:shd w:val="clear" w:color="auto" w:fill="D0CECE" w:themeFill="background2" w:themeFillShade="E6"/>
          </w:tcPr>
          <w:p w14:paraId="388CEC79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D. VIŠAK/MANJAK + NETO FINANCIRANJE</w:t>
            </w: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14:paraId="1158A4C4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10B5BFA2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278567D2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205" w:type="dxa"/>
            <w:shd w:val="clear" w:color="auto" w:fill="D0CECE" w:themeFill="background2" w:themeFillShade="E6"/>
            <w:vAlign w:val="center"/>
          </w:tcPr>
          <w:p w14:paraId="43EC9F1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79FC08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</w:tbl>
    <w:p w14:paraId="613813EF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1A2BF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Članak 2.</w:t>
      </w:r>
    </w:p>
    <w:p w14:paraId="1FAD5AF2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Prihodi i rashodi te primici i izdaci u Računu prihoda i rashoda iskazani su prema ekonomskoj klasifikaciji, prema izvorima financiranja i prema funkcijskoj klasifikaciji kako slijedi:</w:t>
      </w:r>
    </w:p>
    <w:p w14:paraId="5886BC6C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75227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7709F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483E0E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818510" w14:textId="77777777" w:rsidR="00803102" w:rsidRPr="006A2B0F" w:rsidRDefault="00803102" w:rsidP="00803102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40"/>
          <w:lang w:eastAsia="hr-HR"/>
        </w:rPr>
      </w:pPr>
    </w:p>
    <w:p w14:paraId="11DAAFD3" w14:textId="77777777" w:rsidR="00803102" w:rsidRPr="006A2B0F" w:rsidRDefault="00803102" w:rsidP="00803102">
      <w:pPr>
        <w:tabs>
          <w:tab w:val="center" w:pos="2267"/>
          <w:tab w:val="center" w:pos="7171"/>
          <w:tab w:val="center" w:pos="9271"/>
          <w:tab w:val="center" w:pos="10406"/>
        </w:tabs>
        <w:spacing w:after="3"/>
        <w:rPr>
          <w:rFonts w:ascii="Arial" w:eastAsia="Arial" w:hAnsi="Arial" w:cs="Arial"/>
          <w:sz w:val="20"/>
          <w:lang w:eastAsia="hr-HR"/>
        </w:rPr>
      </w:pPr>
    </w:p>
    <w:p w14:paraId="0D97F28B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07D83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1BDB36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59189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D3CB0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E18F5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053DB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DE522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C0465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175A1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A5A49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67039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BFC0B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11AD3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3102" w:rsidRPr="006A2B0F" w:rsidSect="008A77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9EC88D" w14:textId="21C3BD64" w:rsidR="00803102" w:rsidRPr="006A2B0F" w:rsidRDefault="00717A85" w:rsidP="00717A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 </w:t>
      </w:r>
      <w:r w:rsidR="00803102" w:rsidRPr="006A2B0F">
        <w:rPr>
          <w:rFonts w:ascii="Times New Roman" w:hAnsi="Times New Roman" w:cs="Times New Roman"/>
          <w:b/>
          <w:bCs/>
          <w:sz w:val="24"/>
          <w:szCs w:val="24"/>
        </w:rPr>
        <w:t>RAČUN PRIHODA I RASHODA</w:t>
      </w:r>
    </w:p>
    <w:p w14:paraId="1D809008" w14:textId="3A44FB55" w:rsidR="00803102" w:rsidRPr="006A2B0F" w:rsidRDefault="00803102" w:rsidP="00717A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0F">
        <w:rPr>
          <w:rFonts w:ascii="Times New Roman" w:hAnsi="Times New Roman" w:cs="Times New Roman"/>
          <w:b/>
          <w:bCs/>
          <w:sz w:val="24"/>
          <w:szCs w:val="24"/>
        </w:rPr>
        <w:t>za razdoblje od 01.01.202</w:t>
      </w:r>
      <w:r w:rsidR="006711E9" w:rsidRPr="006A2B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B0F">
        <w:rPr>
          <w:rFonts w:ascii="Times New Roman" w:hAnsi="Times New Roman" w:cs="Times New Roman"/>
          <w:b/>
          <w:bCs/>
          <w:sz w:val="24"/>
          <w:szCs w:val="24"/>
        </w:rPr>
        <w:t>. do 31.12.202</w:t>
      </w:r>
      <w:r w:rsidR="006711E9" w:rsidRPr="006A2B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B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1EF43F" w14:textId="77777777" w:rsidR="00717A85" w:rsidRPr="006A2B0F" w:rsidRDefault="00717A85" w:rsidP="00717A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24F55" w14:textId="77777777" w:rsidR="00803102" w:rsidRPr="00D03252" w:rsidRDefault="00803102" w:rsidP="008031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>Tablica 1. Prihodi i primici prema ekonomskoj klasifikaciji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03"/>
        <w:gridCol w:w="5429"/>
        <w:gridCol w:w="1560"/>
        <w:gridCol w:w="1559"/>
        <w:gridCol w:w="1559"/>
        <w:gridCol w:w="1559"/>
        <w:gridCol w:w="1560"/>
      </w:tblGrid>
      <w:tr w:rsidR="00803102" w:rsidRPr="006A2B0F" w14:paraId="6DBC0CD6" w14:textId="77777777" w:rsidTr="00554E7D"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074A543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498D5769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računa ekonomske klasifikacije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5F2F09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80CC4EE" w14:textId="77777777" w:rsidR="00A65813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</w:t>
            </w:r>
            <w:r w:rsidR="00A6581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/</w:t>
            </w:r>
          </w:p>
          <w:p w14:paraId="349C4895" w14:textId="22FD3CA8" w:rsidR="00803102" w:rsidRPr="006A2B0F" w:rsidRDefault="00A65813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tekući 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plan za proračunsku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994D93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41EB41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05A92BC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6A2B0F" w14:paraId="3E4B8207" w14:textId="77777777" w:rsidTr="00C15CC1">
        <w:tc>
          <w:tcPr>
            <w:tcW w:w="803" w:type="dxa"/>
            <w:vAlign w:val="center"/>
          </w:tcPr>
          <w:p w14:paraId="62456613" w14:textId="77777777" w:rsidR="00803102" w:rsidRPr="006A2B0F" w:rsidRDefault="00803102" w:rsidP="0031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429" w:type="dxa"/>
            <w:vAlign w:val="center"/>
          </w:tcPr>
          <w:p w14:paraId="1B69DC51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60" w:type="dxa"/>
            <w:vAlign w:val="center"/>
          </w:tcPr>
          <w:p w14:paraId="4735DB1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78235FD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vAlign w:val="center"/>
          </w:tcPr>
          <w:p w14:paraId="001FB9EF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5C2CB39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60" w:type="dxa"/>
            <w:vAlign w:val="center"/>
          </w:tcPr>
          <w:p w14:paraId="39F31A7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6A2B0F" w14:paraId="1A6B921E" w14:textId="77777777" w:rsidTr="00C15CC1">
        <w:tc>
          <w:tcPr>
            <w:tcW w:w="803" w:type="dxa"/>
            <w:vAlign w:val="center"/>
          </w:tcPr>
          <w:p w14:paraId="71C819DC" w14:textId="77777777" w:rsidR="00803102" w:rsidRPr="006A2B0F" w:rsidRDefault="00803102" w:rsidP="00315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5429" w:type="dxa"/>
          </w:tcPr>
          <w:p w14:paraId="24950C87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1560" w:type="dxa"/>
            <w:vAlign w:val="center"/>
          </w:tcPr>
          <w:p w14:paraId="050E5769" w14:textId="6F013754" w:rsidR="00803102" w:rsidRPr="006A2B0F" w:rsidRDefault="00942995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639.666,03</w:t>
            </w:r>
          </w:p>
        </w:tc>
        <w:tc>
          <w:tcPr>
            <w:tcW w:w="1559" w:type="dxa"/>
            <w:vAlign w:val="center"/>
          </w:tcPr>
          <w:p w14:paraId="123C0BBF" w14:textId="11A7E175" w:rsidR="00803102" w:rsidRPr="006A2B0F" w:rsidRDefault="00942995" w:rsidP="00942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901.296,00</w:t>
            </w:r>
          </w:p>
        </w:tc>
        <w:tc>
          <w:tcPr>
            <w:tcW w:w="1559" w:type="dxa"/>
            <w:vAlign w:val="center"/>
          </w:tcPr>
          <w:p w14:paraId="249B657F" w14:textId="4A1D80C6" w:rsidR="00803102" w:rsidRPr="006A2B0F" w:rsidRDefault="00942995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719.312,84</w:t>
            </w:r>
          </w:p>
        </w:tc>
        <w:tc>
          <w:tcPr>
            <w:tcW w:w="1559" w:type="dxa"/>
            <w:vAlign w:val="center"/>
          </w:tcPr>
          <w:p w14:paraId="78917B12" w14:textId="06F11158" w:rsidR="00803102" w:rsidRPr="006A2B0F" w:rsidRDefault="00942995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112,45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002B5BC0" w14:textId="1FD8E7DD" w:rsidR="00803102" w:rsidRPr="006A2B0F" w:rsidRDefault="00942995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79,81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3B915CA2" w14:textId="77777777" w:rsidTr="00C15CC1">
        <w:tc>
          <w:tcPr>
            <w:tcW w:w="803" w:type="dxa"/>
            <w:vAlign w:val="center"/>
          </w:tcPr>
          <w:p w14:paraId="2BD159AD" w14:textId="77777777" w:rsidR="00803102" w:rsidRPr="006A2B0F" w:rsidRDefault="00803102" w:rsidP="00315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63</w:t>
            </w:r>
          </w:p>
        </w:tc>
        <w:tc>
          <w:tcPr>
            <w:tcW w:w="5429" w:type="dxa"/>
          </w:tcPr>
          <w:p w14:paraId="1969FC5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Pomoći od inozemstva i od subjekata unutar općeg proračuna</w:t>
            </w:r>
          </w:p>
        </w:tc>
        <w:tc>
          <w:tcPr>
            <w:tcW w:w="1560" w:type="dxa"/>
            <w:vAlign w:val="center"/>
          </w:tcPr>
          <w:p w14:paraId="1202BEB9" w14:textId="287DE1FA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432.376,94</w:t>
            </w:r>
          </w:p>
        </w:tc>
        <w:tc>
          <w:tcPr>
            <w:tcW w:w="1559" w:type="dxa"/>
            <w:vAlign w:val="center"/>
          </w:tcPr>
          <w:p w14:paraId="0E5B7143" w14:textId="0DCF8764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552.678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6514D7B4" w14:textId="5029D7DF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423.352,82</w:t>
            </w:r>
          </w:p>
        </w:tc>
        <w:tc>
          <w:tcPr>
            <w:tcW w:w="1559" w:type="dxa"/>
            <w:vAlign w:val="center"/>
          </w:tcPr>
          <w:p w14:paraId="6BA3EF5A" w14:textId="3F8CFB4A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97,91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0B223D2B" w14:textId="3FC1AB35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76,60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22691EEE" w14:textId="77777777" w:rsidTr="00C15CC1">
        <w:tc>
          <w:tcPr>
            <w:tcW w:w="803" w:type="dxa"/>
            <w:vAlign w:val="center"/>
          </w:tcPr>
          <w:p w14:paraId="529B8DAA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632</w:t>
            </w:r>
          </w:p>
        </w:tc>
        <w:tc>
          <w:tcPr>
            <w:tcW w:w="5429" w:type="dxa"/>
          </w:tcPr>
          <w:p w14:paraId="3496924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od međunarodnih organizacija te institucija i tijela EU</w:t>
            </w:r>
          </w:p>
        </w:tc>
        <w:tc>
          <w:tcPr>
            <w:tcW w:w="1560" w:type="dxa"/>
            <w:vAlign w:val="center"/>
          </w:tcPr>
          <w:p w14:paraId="0F77116E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5E455B1" w14:textId="3B978AFE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36.255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03B85201" w14:textId="272E965F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64.133,42</w:t>
            </w:r>
          </w:p>
        </w:tc>
        <w:tc>
          <w:tcPr>
            <w:tcW w:w="1559" w:type="dxa"/>
            <w:vAlign w:val="center"/>
          </w:tcPr>
          <w:p w14:paraId="512E96A7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0356578B" w14:textId="58095B0B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176,90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6F0B224" w14:textId="77777777" w:rsidTr="00C15CC1">
        <w:tc>
          <w:tcPr>
            <w:tcW w:w="803" w:type="dxa"/>
            <w:vAlign w:val="center"/>
          </w:tcPr>
          <w:p w14:paraId="35D4431D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6323</w:t>
            </w:r>
          </w:p>
        </w:tc>
        <w:tc>
          <w:tcPr>
            <w:tcW w:w="5429" w:type="dxa"/>
          </w:tcPr>
          <w:p w14:paraId="2B1F814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Tekuće pomoći od institucija i tijela EU</w:t>
            </w:r>
          </w:p>
        </w:tc>
        <w:tc>
          <w:tcPr>
            <w:tcW w:w="1560" w:type="dxa"/>
            <w:vAlign w:val="center"/>
          </w:tcPr>
          <w:p w14:paraId="72AF8783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2EE9D0E" w14:textId="79EE79DE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36.255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270C14A7" w14:textId="0D79414A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64.133,42</w:t>
            </w:r>
          </w:p>
        </w:tc>
        <w:tc>
          <w:tcPr>
            <w:tcW w:w="1559" w:type="dxa"/>
            <w:vAlign w:val="center"/>
          </w:tcPr>
          <w:p w14:paraId="15811A18" w14:textId="356C1ADE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5A7570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14D2D2E1" w14:textId="7274FF76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176,90</w:t>
            </w:r>
            <w:r w:rsidR="005A7570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1A61676" w14:textId="77777777" w:rsidTr="00041252">
        <w:tc>
          <w:tcPr>
            <w:tcW w:w="803" w:type="dxa"/>
            <w:vAlign w:val="center"/>
          </w:tcPr>
          <w:p w14:paraId="0AEEF5F5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633</w:t>
            </w:r>
          </w:p>
        </w:tc>
        <w:tc>
          <w:tcPr>
            <w:tcW w:w="5429" w:type="dxa"/>
          </w:tcPr>
          <w:p w14:paraId="0C5E7A9E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proračuna iz drugih proračuna</w:t>
            </w:r>
          </w:p>
        </w:tc>
        <w:tc>
          <w:tcPr>
            <w:tcW w:w="1560" w:type="dxa"/>
            <w:vAlign w:val="center"/>
          </w:tcPr>
          <w:p w14:paraId="1F92C53C" w14:textId="094CECE0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68.064,28</w:t>
            </w:r>
          </w:p>
        </w:tc>
        <w:tc>
          <w:tcPr>
            <w:tcW w:w="1559" w:type="dxa"/>
            <w:vAlign w:val="center"/>
          </w:tcPr>
          <w:p w14:paraId="5CA54D5C" w14:textId="54B23C6F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5B5F6" w14:textId="383768B6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27BA8" w14:textId="2A4E68C2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FE94FB" w14:textId="6C31219D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762E5DC" w14:textId="77777777" w:rsidTr="00041252">
        <w:tc>
          <w:tcPr>
            <w:tcW w:w="803" w:type="dxa"/>
            <w:vAlign w:val="center"/>
          </w:tcPr>
          <w:p w14:paraId="2BB865F7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6331</w:t>
            </w:r>
          </w:p>
        </w:tc>
        <w:tc>
          <w:tcPr>
            <w:tcW w:w="5429" w:type="dxa"/>
          </w:tcPr>
          <w:p w14:paraId="5C2C77F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Tekuće pomoći proračunu iz drugih proračuna</w:t>
            </w:r>
          </w:p>
        </w:tc>
        <w:tc>
          <w:tcPr>
            <w:tcW w:w="1560" w:type="dxa"/>
            <w:vAlign w:val="center"/>
          </w:tcPr>
          <w:p w14:paraId="31022FC5" w14:textId="15CEA063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68.064,28</w:t>
            </w:r>
          </w:p>
        </w:tc>
        <w:tc>
          <w:tcPr>
            <w:tcW w:w="1559" w:type="dxa"/>
            <w:vAlign w:val="center"/>
          </w:tcPr>
          <w:p w14:paraId="3BEF5C87" w14:textId="4046B279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D7737" w14:textId="49ABD434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36075" w14:textId="6D8695CA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E83C6C" w14:textId="48C8C89F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A8F6462" w14:textId="77777777" w:rsidTr="00C15CC1">
        <w:tc>
          <w:tcPr>
            <w:tcW w:w="803" w:type="dxa"/>
            <w:vAlign w:val="center"/>
          </w:tcPr>
          <w:p w14:paraId="4818EEAE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638</w:t>
            </w:r>
          </w:p>
        </w:tc>
        <w:tc>
          <w:tcPr>
            <w:tcW w:w="5429" w:type="dxa"/>
          </w:tcPr>
          <w:p w14:paraId="7F89672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iz državnog proračuna temeljem prijenosa EU sredstava</w:t>
            </w:r>
          </w:p>
        </w:tc>
        <w:tc>
          <w:tcPr>
            <w:tcW w:w="1560" w:type="dxa"/>
            <w:vAlign w:val="center"/>
          </w:tcPr>
          <w:p w14:paraId="5547D448" w14:textId="3FB95EDD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364.312,66</w:t>
            </w:r>
          </w:p>
        </w:tc>
        <w:tc>
          <w:tcPr>
            <w:tcW w:w="1559" w:type="dxa"/>
            <w:vAlign w:val="center"/>
          </w:tcPr>
          <w:p w14:paraId="3FA7AB25" w14:textId="637816EF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516.423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1E5D6DE1" w14:textId="52306EEC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359.219,40</w:t>
            </w:r>
          </w:p>
        </w:tc>
        <w:tc>
          <w:tcPr>
            <w:tcW w:w="1559" w:type="dxa"/>
            <w:vAlign w:val="center"/>
          </w:tcPr>
          <w:p w14:paraId="014D1680" w14:textId="099F7392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98,60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0564E41A" w14:textId="031B9C3E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69,56%</w:t>
            </w:r>
          </w:p>
        </w:tc>
      </w:tr>
      <w:tr w:rsidR="00803102" w:rsidRPr="006A2B0F" w14:paraId="2DD8E156" w14:textId="77777777" w:rsidTr="00C15CC1">
        <w:tc>
          <w:tcPr>
            <w:tcW w:w="803" w:type="dxa"/>
            <w:vAlign w:val="center"/>
          </w:tcPr>
          <w:p w14:paraId="3A0AC5A6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6381</w:t>
            </w:r>
          </w:p>
        </w:tc>
        <w:tc>
          <w:tcPr>
            <w:tcW w:w="5429" w:type="dxa"/>
          </w:tcPr>
          <w:p w14:paraId="4A4D34C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Tekuće pomoći iz državnog proračuna temeljem prijenosa EU sredstava</w:t>
            </w:r>
          </w:p>
        </w:tc>
        <w:tc>
          <w:tcPr>
            <w:tcW w:w="1560" w:type="dxa"/>
            <w:vAlign w:val="center"/>
          </w:tcPr>
          <w:p w14:paraId="0EEF4AB5" w14:textId="3B44A6ED" w:rsidR="00803102" w:rsidRPr="006A2B0F" w:rsidRDefault="0004125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353.913,42</w:t>
            </w:r>
          </w:p>
        </w:tc>
        <w:tc>
          <w:tcPr>
            <w:tcW w:w="1559" w:type="dxa"/>
            <w:vAlign w:val="center"/>
          </w:tcPr>
          <w:p w14:paraId="0D11B801" w14:textId="312803FF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501.183,00</w:t>
            </w:r>
          </w:p>
        </w:tc>
        <w:tc>
          <w:tcPr>
            <w:tcW w:w="1559" w:type="dxa"/>
            <w:vAlign w:val="center"/>
          </w:tcPr>
          <w:p w14:paraId="7BCCC551" w14:textId="1CE352DF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347.759,10</w:t>
            </w:r>
          </w:p>
        </w:tc>
        <w:tc>
          <w:tcPr>
            <w:tcW w:w="1559" w:type="dxa"/>
            <w:vAlign w:val="center"/>
          </w:tcPr>
          <w:p w14:paraId="79BAB526" w14:textId="646E0917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98,26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0AC47569" w14:textId="0841FC35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69,39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5266493" w14:textId="77777777" w:rsidTr="00C15CC1">
        <w:tc>
          <w:tcPr>
            <w:tcW w:w="803" w:type="dxa"/>
            <w:vAlign w:val="center"/>
          </w:tcPr>
          <w:p w14:paraId="74496FD0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6382</w:t>
            </w:r>
          </w:p>
        </w:tc>
        <w:tc>
          <w:tcPr>
            <w:tcW w:w="5429" w:type="dxa"/>
          </w:tcPr>
          <w:p w14:paraId="40537B05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Kapitalne pomoći iz državnog proračuna temeljem prijenosa EU sredstava</w:t>
            </w:r>
          </w:p>
        </w:tc>
        <w:tc>
          <w:tcPr>
            <w:tcW w:w="1560" w:type="dxa"/>
            <w:vAlign w:val="center"/>
          </w:tcPr>
          <w:p w14:paraId="5DA33D6A" w14:textId="3416818D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10.399,24</w:t>
            </w:r>
          </w:p>
        </w:tc>
        <w:tc>
          <w:tcPr>
            <w:tcW w:w="1559" w:type="dxa"/>
            <w:vAlign w:val="center"/>
          </w:tcPr>
          <w:p w14:paraId="5A77FA1A" w14:textId="182772A3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15.240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47C2952E" w14:textId="3FF61626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11.460,30</w:t>
            </w:r>
          </w:p>
        </w:tc>
        <w:tc>
          <w:tcPr>
            <w:tcW w:w="1559" w:type="dxa"/>
            <w:vAlign w:val="center"/>
          </w:tcPr>
          <w:p w14:paraId="0EE1E878" w14:textId="67C5B1FF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110,20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0BA00682" w14:textId="2B2E7EBF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75,20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FD37307" w14:textId="77777777" w:rsidTr="00C15CC1">
        <w:tc>
          <w:tcPr>
            <w:tcW w:w="803" w:type="dxa"/>
            <w:vAlign w:val="center"/>
          </w:tcPr>
          <w:p w14:paraId="5ED8A8CE" w14:textId="77777777" w:rsidR="00803102" w:rsidRPr="006A2B0F" w:rsidRDefault="00803102" w:rsidP="00315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64</w:t>
            </w:r>
          </w:p>
        </w:tc>
        <w:tc>
          <w:tcPr>
            <w:tcW w:w="5429" w:type="dxa"/>
          </w:tcPr>
          <w:p w14:paraId="38D0C579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od imovine</w:t>
            </w:r>
          </w:p>
        </w:tc>
        <w:tc>
          <w:tcPr>
            <w:tcW w:w="1560" w:type="dxa"/>
            <w:vAlign w:val="center"/>
          </w:tcPr>
          <w:p w14:paraId="3C34763E" w14:textId="59F93636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0,35</w:t>
            </w:r>
          </w:p>
        </w:tc>
        <w:tc>
          <w:tcPr>
            <w:tcW w:w="1559" w:type="dxa"/>
            <w:vAlign w:val="center"/>
          </w:tcPr>
          <w:p w14:paraId="43A906B5" w14:textId="23A871E0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93,00</w:t>
            </w:r>
          </w:p>
        </w:tc>
        <w:tc>
          <w:tcPr>
            <w:tcW w:w="1559" w:type="dxa"/>
            <w:vAlign w:val="center"/>
          </w:tcPr>
          <w:p w14:paraId="467333F5" w14:textId="48FE77D4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0,22</w:t>
            </w:r>
          </w:p>
        </w:tc>
        <w:tc>
          <w:tcPr>
            <w:tcW w:w="1559" w:type="dxa"/>
            <w:vAlign w:val="center"/>
          </w:tcPr>
          <w:p w14:paraId="4C9D0E8D" w14:textId="6EBFB19F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62,86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40441B2D" w14:textId="280B9D7C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0,24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A14FDAA" w14:textId="77777777" w:rsidTr="00C15CC1">
        <w:tc>
          <w:tcPr>
            <w:tcW w:w="803" w:type="dxa"/>
            <w:vAlign w:val="center"/>
          </w:tcPr>
          <w:p w14:paraId="3DF099AD" w14:textId="77777777" w:rsidR="00803102" w:rsidRPr="006A2B0F" w:rsidRDefault="00803102" w:rsidP="003156D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641</w:t>
            </w:r>
          </w:p>
        </w:tc>
        <w:tc>
          <w:tcPr>
            <w:tcW w:w="5429" w:type="dxa"/>
          </w:tcPr>
          <w:p w14:paraId="52445C4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od financijske imovine</w:t>
            </w:r>
          </w:p>
        </w:tc>
        <w:tc>
          <w:tcPr>
            <w:tcW w:w="1560" w:type="dxa"/>
            <w:vAlign w:val="center"/>
          </w:tcPr>
          <w:p w14:paraId="23953F94" w14:textId="0D1A84B8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0,35</w:t>
            </w:r>
          </w:p>
        </w:tc>
        <w:tc>
          <w:tcPr>
            <w:tcW w:w="1559" w:type="dxa"/>
            <w:vAlign w:val="center"/>
          </w:tcPr>
          <w:p w14:paraId="2FB4C930" w14:textId="11A7572A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459707A9" w14:textId="3C53919A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0,22</w:t>
            </w:r>
          </w:p>
        </w:tc>
        <w:tc>
          <w:tcPr>
            <w:tcW w:w="1559" w:type="dxa"/>
            <w:vAlign w:val="center"/>
          </w:tcPr>
          <w:p w14:paraId="4E0DB456" w14:textId="263DB60A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62,86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7ECC2E31" w14:textId="2CFF4A9F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D7B33AA" w14:textId="77777777" w:rsidTr="00C15CC1">
        <w:tc>
          <w:tcPr>
            <w:tcW w:w="803" w:type="dxa"/>
            <w:vAlign w:val="center"/>
          </w:tcPr>
          <w:p w14:paraId="12546A4E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6413</w:t>
            </w:r>
          </w:p>
        </w:tc>
        <w:tc>
          <w:tcPr>
            <w:tcW w:w="5429" w:type="dxa"/>
          </w:tcPr>
          <w:p w14:paraId="4B7EFC7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Kamate na oročena sredstva i depozite po viđenju</w:t>
            </w:r>
          </w:p>
        </w:tc>
        <w:tc>
          <w:tcPr>
            <w:tcW w:w="1560" w:type="dxa"/>
            <w:vAlign w:val="center"/>
          </w:tcPr>
          <w:p w14:paraId="61A7472D" w14:textId="6CD95134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0,35</w:t>
            </w:r>
          </w:p>
        </w:tc>
        <w:tc>
          <w:tcPr>
            <w:tcW w:w="1559" w:type="dxa"/>
            <w:vAlign w:val="center"/>
          </w:tcPr>
          <w:p w14:paraId="6962782A" w14:textId="10688C62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93,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</w:t>
            </w:r>
          </w:p>
        </w:tc>
        <w:tc>
          <w:tcPr>
            <w:tcW w:w="1559" w:type="dxa"/>
            <w:vAlign w:val="center"/>
          </w:tcPr>
          <w:p w14:paraId="01A8D5E7" w14:textId="1115AFBF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0,22</w:t>
            </w:r>
          </w:p>
        </w:tc>
        <w:tc>
          <w:tcPr>
            <w:tcW w:w="1559" w:type="dxa"/>
            <w:vAlign w:val="center"/>
          </w:tcPr>
          <w:p w14:paraId="4522AEF2" w14:textId="1B54ADFB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62,86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5E9E6450" w14:textId="2CD66F68" w:rsidR="00803102" w:rsidRPr="006A2B0F" w:rsidRDefault="000E51C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DF2B11D" w14:textId="77777777" w:rsidTr="00C15CC1">
        <w:tc>
          <w:tcPr>
            <w:tcW w:w="803" w:type="dxa"/>
            <w:vAlign w:val="center"/>
          </w:tcPr>
          <w:p w14:paraId="7A7A0275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65</w:t>
            </w:r>
          </w:p>
        </w:tc>
        <w:tc>
          <w:tcPr>
            <w:tcW w:w="5429" w:type="dxa"/>
          </w:tcPr>
          <w:p w14:paraId="35BD2C87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od upravnih i administrativnih pristojbi, pristojbi po posebnim propisima i naknadama</w:t>
            </w:r>
          </w:p>
        </w:tc>
        <w:tc>
          <w:tcPr>
            <w:tcW w:w="1560" w:type="dxa"/>
            <w:vAlign w:val="center"/>
          </w:tcPr>
          <w:p w14:paraId="356211C8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E50FE3A" w14:textId="22081FCD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660,00</w:t>
            </w:r>
          </w:p>
        </w:tc>
        <w:tc>
          <w:tcPr>
            <w:tcW w:w="1559" w:type="dxa"/>
            <w:vAlign w:val="center"/>
          </w:tcPr>
          <w:p w14:paraId="54359F02" w14:textId="0FF77B64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296,90</w:t>
            </w:r>
          </w:p>
        </w:tc>
        <w:tc>
          <w:tcPr>
            <w:tcW w:w="1559" w:type="dxa"/>
            <w:vAlign w:val="center"/>
          </w:tcPr>
          <w:p w14:paraId="2821E273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36F91DA2" w14:textId="75A39007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44,98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4C4AB2BA" w14:textId="77777777" w:rsidTr="00C15CC1">
        <w:tc>
          <w:tcPr>
            <w:tcW w:w="803" w:type="dxa"/>
            <w:vAlign w:val="center"/>
          </w:tcPr>
          <w:p w14:paraId="3281502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652</w:t>
            </w:r>
          </w:p>
        </w:tc>
        <w:tc>
          <w:tcPr>
            <w:tcW w:w="5429" w:type="dxa"/>
          </w:tcPr>
          <w:p w14:paraId="25ED6906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po posebnim propisima</w:t>
            </w:r>
          </w:p>
        </w:tc>
        <w:tc>
          <w:tcPr>
            <w:tcW w:w="1560" w:type="dxa"/>
            <w:vAlign w:val="center"/>
          </w:tcPr>
          <w:p w14:paraId="1FE2D822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C8A58BB" w14:textId="379F6B75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427AE99B" w14:textId="0AB35770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296,90</w:t>
            </w:r>
          </w:p>
        </w:tc>
        <w:tc>
          <w:tcPr>
            <w:tcW w:w="1559" w:type="dxa"/>
            <w:vAlign w:val="center"/>
          </w:tcPr>
          <w:p w14:paraId="0060B9D4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19C59751" w14:textId="6E9B4035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44,98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452F6485" w14:textId="77777777" w:rsidTr="00C15CC1">
        <w:tc>
          <w:tcPr>
            <w:tcW w:w="803" w:type="dxa"/>
            <w:vAlign w:val="center"/>
          </w:tcPr>
          <w:p w14:paraId="68B76988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6526</w:t>
            </w:r>
          </w:p>
        </w:tc>
        <w:tc>
          <w:tcPr>
            <w:tcW w:w="5429" w:type="dxa"/>
          </w:tcPr>
          <w:p w14:paraId="5F58824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nespomenuti prihodi</w:t>
            </w:r>
          </w:p>
        </w:tc>
        <w:tc>
          <w:tcPr>
            <w:tcW w:w="1560" w:type="dxa"/>
            <w:vAlign w:val="center"/>
          </w:tcPr>
          <w:p w14:paraId="618A27D8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C276BB4" w14:textId="3E3A4173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5F5B90E3" w14:textId="164AA24F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296,90</w:t>
            </w:r>
          </w:p>
        </w:tc>
        <w:tc>
          <w:tcPr>
            <w:tcW w:w="1559" w:type="dxa"/>
            <w:vAlign w:val="center"/>
          </w:tcPr>
          <w:p w14:paraId="56D22CA8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5807FADA" w14:textId="40A35351" w:rsidR="00803102" w:rsidRPr="006A2B0F" w:rsidRDefault="00E91D7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44,98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5CB2ACB1" w14:textId="77777777" w:rsidTr="00C15CC1">
        <w:tc>
          <w:tcPr>
            <w:tcW w:w="803" w:type="dxa"/>
            <w:vAlign w:val="center"/>
          </w:tcPr>
          <w:p w14:paraId="46302EAA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67</w:t>
            </w:r>
          </w:p>
        </w:tc>
        <w:tc>
          <w:tcPr>
            <w:tcW w:w="5429" w:type="dxa"/>
          </w:tcPr>
          <w:p w14:paraId="417AFC4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iz nadležnog proračuna i od HZZO-a temeljem ugovornih obveza</w:t>
            </w:r>
          </w:p>
        </w:tc>
        <w:tc>
          <w:tcPr>
            <w:tcW w:w="1560" w:type="dxa"/>
            <w:vAlign w:val="center"/>
          </w:tcPr>
          <w:p w14:paraId="262C5B47" w14:textId="68A4EF9E" w:rsidR="00803102" w:rsidRPr="006A2B0F" w:rsidRDefault="00042258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207.288,74</w:t>
            </w:r>
          </w:p>
        </w:tc>
        <w:tc>
          <w:tcPr>
            <w:tcW w:w="1559" w:type="dxa"/>
            <w:vAlign w:val="center"/>
          </w:tcPr>
          <w:p w14:paraId="0EB66A78" w14:textId="3EDC8947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347.865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071F2F80" w14:textId="3EDF6FFE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295.662,90</w:t>
            </w:r>
          </w:p>
        </w:tc>
        <w:tc>
          <w:tcPr>
            <w:tcW w:w="1559" w:type="dxa"/>
            <w:vAlign w:val="center"/>
          </w:tcPr>
          <w:p w14:paraId="526DF3ED" w14:textId="790D92EB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142,63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5F33AE4D" w14:textId="35A0A4A4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84,99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439453D" w14:textId="77777777" w:rsidTr="00C15CC1">
        <w:tc>
          <w:tcPr>
            <w:tcW w:w="803" w:type="dxa"/>
            <w:vAlign w:val="center"/>
          </w:tcPr>
          <w:p w14:paraId="4D97F1A5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671</w:t>
            </w:r>
          </w:p>
        </w:tc>
        <w:tc>
          <w:tcPr>
            <w:tcW w:w="5429" w:type="dxa"/>
          </w:tcPr>
          <w:p w14:paraId="591E1DA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iz nadležnog proračuna za financiranje redovne djelatnosti proračunskog korisnika</w:t>
            </w:r>
          </w:p>
        </w:tc>
        <w:tc>
          <w:tcPr>
            <w:tcW w:w="1560" w:type="dxa"/>
            <w:vAlign w:val="center"/>
          </w:tcPr>
          <w:p w14:paraId="7363AFC2" w14:textId="3DA2D3FD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207.288,74</w:t>
            </w:r>
          </w:p>
        </w:tc>
        <w:tc>
          <w:tcPr>
            <w:tcW w:w="1559" w:type="dxa"/>
            <w:vAlign w:val="center"/>
          </w:tcPr>
          <w:p w14:paraId="525A927F" w14:textId="5D620AB9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347.865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77B2F710" w14:textId="0D7AEAD5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295.662,90</w:t>
            </w:r>
          </w:p>
        </w:tc>
        <w:tc>
          <w:tcPr>
            <w:tcW w:w="1559" w:type="dxa"/>
            <w:vAlign w:val="center"/>
          </w:tcPr>
          <w:p w14:paraId="27BD145B" w14:textId="3BD17452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142,63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1BC29E22" w14:textId="598EB88A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84,99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CBE7878" w14:textId="77777777" w:rsidTr="00C15CC1">
        <w:tc>
          <w:tcPr>
            <w:tcW w:w="803" w:type="dxa"/>
            <w:vAlign w:val="center"/>
          </w:tcPr>
          <w:p w14:paraId="7421E230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6711</w:t>
            </w:r>
          </w:p>
        </w:tc>
        <w:tc>
          <w:tcPr>
            <w:tcW w:w="5429" w:type="dxa"/>
          </w:tcPr>
          <w:p w14:paraId="52EF520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iz nadležnog proračuna za financiranje rashoda poslovanja</w:t>
            </w:r>
          </w:p>
        </w:tc>
        <w:tc>
          <w:tcPr>
            <w:tcW w:w="1560" w:type="dxa"/>
            <w:vAlign w:val="center"/>
          </w:tcPr>
          <w:p w14:paraId="4229F942" w14:textId="1FF23C63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202.039,42</w:t>
            </w:r>
          </w:p>
        </w:tc>
        <w:tc>
          <w:tcPr>
            <w:tcW w:w="1559" w:type="dxa"/>
            <w:vAlign w:val="center"/>
          </w:tcPr>
          <w:p w14:paraId="5F4C2D58" w14:textId="11CCFBAA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344.175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0874770B" w14:textId="24BF05F4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294.086,75</w:t>
            </w:r>
          </w:p>
        </w:tc>
        <w:tc>
          <w:tcPr>
            <w:tcW w:w="1559" w:type="dxa"/>
            <w:vAlign w:val="center"/>
          </w:tcPr>
          <w:p w14:paraId="77078DF3" w14:textId="4A7559BD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145,56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77DDA2E1" w14:textId="70E5B0B5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85,45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B61A4F0" w14:textId="77777777" w:rsidTr="00C15CC1">
        <w:tc>
          <w:tcPr>
            <w:tcW w:w="803" w:type="dxa"/>
            <w:vAlign w:val="center"/>
          </w:tcPr>
          <w:p w14:paraId="02204846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6712</w:t>
            </w:r>
          </w:p>
        </w:tc>
        <w:tc>
          <w:tcPr>
            <w:tcW w:w="5429" w:type="dxa"/>
          </w:tcPr>
          <w:p w14:paraId="2B814D25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iz nadležnog proračuna za financiranje rashoda za nabavu nefinancijske imovine</w:t>
            </w:r>
          </w:p>
        </w:tc>
        <w:tc>
          <w:tcPr>
            <w:tcW w:w="1560" w:type="dxa"/>
            <w:vAlign w:val="center"/>
          </w:tcPr>
          <w:p w14:paraId="1A794243" w14:textId="36F2AE04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5.249,32</w:t>
            </w:r>
          </w:p>
        </w:tc>
        <w:tc>
          <w:tcPr>
            <w:tcW w:w="1559" w:type="dxa"/>
            <w:vAlign w:val="center"/>
          </w:tcPr>
          <w:p w14:paraId="38EFC933" w14:textId="03681B18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3.690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62068098" w14:textId="5F7F812F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1.576,15</w:t>
            </w:r>
          </w:p>
        </w:tc>
        <w:tc>
          <w:tcPr>
            <w:tcW w:w="1559" w:type="dxa"/>
            <w:vAlign w:val="center"/>
          </w:tcPr>
          <w:p w14:paraId="2E80239B" w14:textId="12166948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30,03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04E2C9BA" w14:textId="5F166A2D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42,71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</w:tbl>
    <w:p w14:paraId="3C013FCA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Opći dio proračuna</w:t>
      </w:r>
    </w:p>
    <w:p w14:paraId="16F8EF7E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876B5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EF7F6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B7C06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1BBFC" w14:textId="21F70508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8C2A0" w14:textId="77777777" w:rsidR="009F5E01" w:rsidRPr="006A2B0F" w:rsidRDefault="009F5E01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5892A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BE933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D390C" w14:textId="77777777" w:rsidR="00042258" w:rsidRPr="006A2B0F" w:rsidRDefault="00042258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A1A69" w14:textId="77777777" w:rsidR="00042258" w:rsidRPr="006A2B0F" w:rsidRDefault="00042258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E144F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DD8D0" w14:textId="77777777" w:rsidR="00803102" w:rsidRPr="006A2B0F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CF81" w14:textId="77777777" w:rsidR="00014D1F" w:rsidRPr="006A2B0F" w:rsidRDefault="00014D1F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393A8" w14:textId="1AB0D1C2" w:rsidR="00803102" w:rsidRPr="00D03252" w:rsidRDefault="00803102" w:rsidP="008031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Tablica 2. Rashodi i izdaci prema ekonomskoj klasifikaciji 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6A2B0F" w14:paraId="7BB02036" w14:textId="77777777" w:rsidTr="00554E7D">
        <w:trPr>
          <w:jc w:val="center"/>
        </w:trPr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6E9463A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F2F2F2" w:themeFill="background1" w:themeFillShade="F2"/>
            <w:vAlign w:val="center"/>
          </w:tcPr>
          <w:p w14:paraId="4DC0E74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računa ekonomske klasifikacije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7532F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D7F84F" w14:textId="77777777" w:rsidR="00A65813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</w:t>
            </w:r>
            <w:r w:rsidR="00A6581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/</w:t>
            </w:r>
          </w:p>
          <w:p w14:paraId="3731BD1F" w14:textId="0C8783CD" w:rsidR="00803102" w:rsidRPr="006A2B0F" w:rsidRDefault="00A65813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tekući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plan za proračunsku godinu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A312482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524554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964A61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6A2B0F" w14:paraId="090F41FC" w14:textId="77777777" w:rsidTr="00C15CC1">
        <w:trPr>
          <w:jc w:val="center"/>
        </w:trPr>
        <w:tc>
          <w:tcPr>
            <w:tcW w:w="803" w:type="dxa"/>
            <w:vAlign w:val="center"/>
          </w:tcPr>
          <w:p w14:paraId="2ED0A191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14D30B8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7F6DD0F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32F6AA43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3BEEA30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4CF149D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5FA99D9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6A2B0F" w14:paraId="188D8AAD" w14:textId="77777777" w:rsidTr="00C15CC1">
        <w:trPr>
          <w:trHeight w:val="394"/>
          <w:jc w:val="center"/>
        </w:trPr>
        <w:tc>
          <w:tcPr>
            <w:tcW w:w="803" w:type="dxa"/>
            <w:vAlign w:val="center"/>
          </w:tcPr>
          <w:p w14:paraId="296326C2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vAlign w:val="center"/>
          </w:tcPr>
          <w:p w14:paraId="5BD29B85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1559" w:type="dxa"/>
            <w:vAlign w:val="center"/>
          </w:tcPr>
          <w:p w14:paraId="39A51C40" w14:textId="5C98CEFB" w:rsidR="00803102" w:rsidRPr="006A2B0F" w:rsidRDefault="00CE6340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591.644,71</w:t>
            </w:r>
          </w:p>
        </w:tc>
        <w:tc>
          <w:tcPr>
            <w:tcW w:w="1559" w:type="dxa"/>
            <w:vAlign w:val="center"/>
          </w:tcPr>
          <w:p w14:paraId="0E39A26A" w14:textId="4A8FF4F9" w:rsidR="00803102" w:rsidRPr="006A2B0F" w:rsidRDefault="00CE6340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894.011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541863D8" w14:textId="1773A6FA" w:rsidR="00803102" w:rsidRPr="006A2B0F" w:rsidRDefault="00CE6340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720.666,94</w:t>
            </w:r>
          </w:p>
        </w:tc>
        <w:tc>
          <w:tcPr>
            <w:tcW w:w="1559" w:type="dxa"/>
            <w:vAlign w:val="center"/>
          </w:tcPr>
          <w:p w14:paraId="46BB3D2B" w14:textId="4B8DAAAA" w:rsidR="00803102" w:rsidRPr="006A2B0F" w:rsidRDefault="00CE6340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121,81</w:t>
            </w:r>
            <w:r w:rsidR="00042258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8268373" w14:textId="3FE79E93" w:rsidR="00803102" w:rsidRPr="006A2B0F" w:rsidRDefault="00042258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</w:t>
            </w:r>
            <w:r w:rsidR="00CE6340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C50A43" w:rsidRPr="006A2B0F" w14:paraId="77F8B89D" w14:textId="77777777" w:rsidTr="00C15CC1">
        <w:trPr>
          <w:jc w:val="center"/>
        </w:trPr>
        <w:tc>
          <w:tcPr>
            <w:tcW w:w="803" w:type="dxa"/>
            <w:vAlign w:val="center"/>
          </w:tcPr>
          <w:p w14:paraId="090DD5A9" w14:textId="77777777" w:rsidR="00C50A43" w:rsidRPr="006A2B0F" w:rsidRDefault="00C50A43" w:rsidP="00C50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72CA5A75" w14:textId="77777777" w:rsidR="00C50A43" w:rsidRPr="006A2B0F" w:rsidRDefault="00C50A43" w:rsidP="00C50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57FD1ED5" w14:textId="33F7D353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575.996,15</w:t>
            </w:r>
          </w:p>
        </w:tc>
        <w:tc>
          <w:tcPr>
            <w:tcW w:w="1559" w:type="dxa"/>
            <w:vAlign w:val="center"/>
          </w:tcPr>
          <w:p w14:paraId="2494B39D" w14:textId="645D9FE9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875.081,00</w:t>
            </w:r>
          </w:p>
        </w:tc>
        <w:tc>
          <w:tcPr>
            <w:tcW w:w="1560" w:type="dxa"/>
            <w:vAlign w:val="center"/>
          </w:tcPr>
          <w:p w14:paraId="77BB4687" w14:textId="22DA8AAA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707.184,24</w:t>
            </w:r>
          </w:p>
        </w:tc>
        <w:tc>
          <w:tcPr>
            <w:tcW w:w="1559" w:type="dxa"/>
            <w:vAlign w:val="center"/>
          </w:tcPr>
          <w:p w14:paraId="668DA798" w14:textId="513F5E42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122,78%</w:t>
            </w:r>
          </w:p>
        </w:tc>
        <w:tc>
          <w:tcPr>
            <w:tcW w:w="1559" w:type="dxa"/>
            <w:vAlign w:val="center"/>
          </w:tcPr>
          <w:p w14:paraId="63636A7A" w14:textId="071F608D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80,81%</w:t>
            </w:r>
          </w:p>
        </w:tc>
      </w:tr>
      <w:tr w:rsidR="00803102" w:rsidRPr="006A2B0F" w14:paraId="389517EA" w14:textId="77777777" w:rsidTr="00C15CC1">
        <w:trPr>
          <w:jc w:val="center"/>
        </w:trPr>
        <w:tc>
          <w:tcPr>
            <w:tcW w:w="803" w:type="dxa"/>
            <w:vAlign w:val="center"/>
          </w:tcPr>
          <w:p w14:paraId="1BCF4743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31</w:t>
            </w:r>
          </w:p>
        </w:tc>
        <w:tc>
          <w:tcPr>
            <w:tcW w:w="5146" w:type="dxa"/>
            <w:vAlign w:val="center"/>
          </w:tcPr>
          <w:p w14:paraId="79EDA24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559" w:type="dxa"/>
            <w:vAlign w:val="center"/>
          </w:tcPr>
          <w:p w14:paraId="2C77DFA1" w14:textId="1D4FCBE8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419.694,73</w:t>
            </w:r>
          </w:p>
        </w:tc>
        <w:tc>
          <w:tcPr>
            <w:tcW w:w="1559" w:type="dxa"/>
            <w:vAlign w:val="center"/>
          </w:tcPr>
          <w:p w14:paraId="0DCAE8F3" w14:textId="24112AD5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514.596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C57745D" w14:textId="3D1F4601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475.361,77</w:t>
            </w:r>
          </w:p>
        </w:tc>
        <w:tc>
          <w:tcPr>
            <w:tcW w:w="1559" w:type="dxa"/>
            <w:vAlign w:val="center"/>
          </w:tcPr>
          <w:p w14:paraId="0217F592" w14:textId="3B5CE655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113,26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6C349716" w14:textId="10B49955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92,38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2511DB82" w14:textId="77777777" w:rsidTr="00C15CC1">
        <w:trPr>
          <w:jc w:val="center"/>
        </w:trPr>
        <w:tc>
          <w:tcPr>
            <w:tcW w:w="803" w:type="dxa"/>
            <w:vAlign w:val="center"/>
          </w:tcPr>
          <w:p w14:paraId="4AC32C3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</w:t>
            </w:r>
          </w:p>
        </w:tc>
        <w:tc>
          <w:tcPr>
            <w:tcW w:w="5146" w:type="dxa"/>
            <w:vAlign w:val="center"/>
          </w:tcPr>
          <w:p w14:paraId="3C8453B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Plaće (Bruto)</w:t>
            </w:r>
          </w:p>
        </w:tc>
        <w:tc>
          <w:tcPr>
            <w:tcW w:w="1559" w:type="dxa"/>
            <w:vAlign w:val="center"/>
          </w:tcPr>
          <w:p w14:paraId="3B8D22A6" w14:textId="63578FD2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345.571,53</w:t>
            </w:r>
          </w:p>
        </w:tc>
        <w:tc>
          <w:tcPr>
            <w:tcW w:w="1559" w:type="dxa"/>
            <w:vAlign w:val="center"/>
          </w:tcPr>
          <w:p w14:paraId="3076FB7E" w14:textId="0FF0158F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412.975,00</w:t>
            </w:r>
          </w:p>
        </w:tc>
        <w:tc>
          <w:tcPr>
            <w:tcW w:w="1560" w:type="dxa"/>
            <w:vAlign w:val="center"/>
          </w:tcPr>
          <w:p w14:paraId="5F9AEBA9" w14:textId="2A9B2E54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387.838,16</w:t>
            </w:r>
          </w:p>
        </w:tc>
        <w:tc>
          <w:tcPr>
            <w:tcW w:w="1559" w:type="dxa"/>
            <w:vAlign w:val="center"/>
          </w:tcPr>
          <w:p w14:paraId="554F98E5" w14:textId="0EE24ED7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112,23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69A9759C" w14:textId="53C018F0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93,91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C50A43" w:rsidRPr="006A2B0F" w14:paraId="6B875CDA" w14:textId="77777777" w:rsidTr="00C15CC1">
        <w:trPr>
          <w:jc w:val="center"/>
        </w:trPr>
        <w:tc>
          <w:tcPr>
            <w:tcW w:w="803" w:type="dxa"/>
            <w:vAlign w:val="center"/>
          </w:tcPr>
          <w:p w14:paraId="391ECB0A" w14:textId="77777777" w:rsidR="00C50A43" w:rsidRPr="006A2B0F" w:rsidRDefault="00C50A43" w:rsidP="00C50A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</w:t>
            </w:r>
          </w:p>
        </w:tc>
        <w:tc>
          <w:tcPr>
            <w:tcW w:w="5146" w:type="dxa"/>
            <w:vAlign w:val="center"/>
          </w:tcPr>
          <w:p w14:paraId="6D601D0A" w14:textId="77777777" w:rsidR="00C50A43" w:rsidRPr="006A2B0F" w:rsidRDefault="00C50A43" w:rsidP="00C50A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Plaće za redovan rad</w:t>
            </w:r>
          </w:p>
        </w:tc>
        <w:tc>
          <w:tcPr>
            <w:tcW w:w="1559" w:type="dxa"/>
            <w:vAlign w:val="center"/>
          </w:tcPr>
          <w:p w14:paraId="1B4703BE" w14:textId="6031CDB2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345.571,53</w:t>
            </w:r>
          </w:p>
        </w:tc>
        <w:tc>
          <w:tcPr>
            <w:tcW w:w="1559" w:type="dxa"/>
            <w:vAlign w:val="center"/>
          </w:tcPr>
          <w:p w14:paraId="0E675449" w14:textId="154E63FA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412.975,00</w:t>
            </w:r>
          </w:p>
        </w:tc>
        <w:tc>
          <w:tcPr>
            <w:tcW w:w="1560" w:type="dxa"/>
            <w:vAlign w:val="center"/>
          </w:tcPr>
          <w:p w14:paraId="2D193A34" w14:textId="675259B5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387.838,16</w:t>
            </w:r>
          </w:p>
        </w:tc>
        <w:tc>
          <w:tcPr>
            <w:tcW w:w="1559" w:type="dxa"/>
            <w:vAlign w:val="center"/>
          </w:tcPr>
          <w:p w14:paraId="3BDAB3E2" w14:textId="3D4EC89C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112,23%</w:t>
            </w:r>
          </w:p>
        </w:tc>
        <w:tc>
          <w:tcPr>
            <w:tcW w:w="1559" w:type="dxa"/>
            <w:vAlign w:val="center"/>
          </w:tcPr>
          <w:p w14:paraId="5033BA85" w14:textId="5D824096" w:rsidR="00C50A43" w:rsidRPr="006A2B0F" w:rsidRDefault="00C50A43" w:rsidP="00C50A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93,91%</w:t>
            </w:r>
          </w:p>
        </w:tc>
      </w:tr>
      <w:tr w:rsidR="00803102" w:rsidRPr="006A2B0F" w14:paraId="5560E87B" w14:textId="77777777" w:rsidTr="00C15CC1">
        <w:trPr>
          <w:jc w:val="center"/>
        </w:trPr>
        <w:tc>
          <w:tcPr>
            <w:tcW w:w="803" w:type="dxa"/>
            <w:vAlign w:val="center"/>
          </w:tcPr>
          <w:p w14:paraId="4301FD8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</w:t>
            </w:r>
          </w:p>
        </w:tc>
        <w:tc>
          <w:tcPr>
            <w:tcW w:w="5146" w:type="dxa"/>
            <w:vAlign w:val="center"/>
          </w:tcPr>
          <w:p w14:paraId="3E68C27F" w14:textId="75D68A31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rashodi za zaposlene</w:t>
            </w:r>
          </w:p>
        </w:tc>
        <w:tc>
          <w:tcPr>
            <w:tcW w:w="1559" w:type="dxa"/>
            <w:vAlign w:val="center"/>
          </w:tcPr>
          <w:p w14:paraId="53FA456C" w14:textId="68EC85F6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27.640,16</w:t>
            </w:r>
          </w:p>
        </w:tc>
        <w:tc>
          <w:tcPr>
            <w:tcW w:w="1559" w:type="dxa"/>
            <w:vAlign w:val="center"/>
          </w:tcPr>
          <w:p w14:paraId="43461E6B" w14:textId="6834A954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38.971,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</w:t>
            </w:r>
          </w:p>
        </w:tc>
        <w:tc>
          <w:tcPr>
            <w:tcW w:w="1560" w:type="dxa"/>
            <w:vAlign w:val="center"/>
          </w:tcPr>
          <w:p w14:paraId="7409D512" w14:textId="2014C80B" w:rsidR="00803102" w:rsidRPr="006A2B0F" w:rsidRDefault="00C50A43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36.086,82</w:t>
            </w:r>
          </w:p>
        </w:tc>
        <w:tc>
          <w:tcPr>
            <w:tcW w:w="1559" w:type="dxa"/>
            <w:vAlign w:val="center"/>
          </w:tcPr>
          <w:p w14:paraId="38400A73" w14:textId="0D544833" w:rsidR="00803102" w:rsidRPr="006A2B0F" w:rsidRDefault="00830B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130,56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0BDDC1CF" w14:textId="5F1769B2" w:rsidR="00803102" w:rsidRPr="006A2B0F" w:rsidRDefault="00830B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92,60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165F17" w:rsidRPr="006A2B0F" w14:paraId="6657B3E9" w14:textId="77777777" w:rsidTr="00C15CC1">
        <w:trPr>
          <w:jc w:val="center"/>
        </w:trPr>
        <w:tc>
          <w:tcPr>
            <w:tcW w:w="803" w:type="dxa"/>
            <w:vAlign w:val="center"/>
          </w:tcPr>
          <w:p w14:paraId="01C39F10" w14:textId="77777777" w:rsidR="00165F17" w:rsidRPr="006A2B0F" w:rsidRDefault="00165F17" w:rsidP="00165F1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3121</w:t>
            </w:r>
          </w:p>
        </w:tc>
        <w:tc>
          <w:tcPr>
            <w:tcW w:w="5146" w:type="dxa"/>
            <w:vAlign w:val="center"/>
          </w:tcPr>
          <w:p w14:paraId="48B9DD43" w14:textId="77777777" w:rsidR="00165F17" w:rsidRPr="006A2B0F" w:rsidRDefault="00165F17" w:rsidP="00165F1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rashodi za zaposlene</w:t>
            </w:r>
          </w:p>
        </w:tc>
        <w:tc>
          <w:tcPr>
            <w:tcW w:w="1559" w:type="dxa"/>
            <w:vAlign w:val="center"/>
          </w:tcPr>
          <w:p w14:paraId="1D6A32E1" w14:textId="0E9486DD" w:rsidR="00165F17" w:rsidRPr="006A2B0F" w:rsidRDefault="00165F17" w:rsidP="00165F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27.640,16</w:t>
            </w:r>
          </w:p>
        </w:tc>
        <w:tc>
          <w:tcPr>
            <w:tcW w:w="1559" w:type="dxa"/>
            <w:vAlign w:val="center"/>
          </w:tcPr>
          <w:p w14:paraId="0E2E9C8F" w14:textId="5BB0A9E4" w:rsidR="00165F17" w:rsidRPr="006A2B0F" w:rsidRDefault="00165F17" w:rsidP="00165F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38.971,00</w:t>
            </w:r>
          </w:p>
        </w:tc>
        <w:tc>
          <w:tcPr>
            <w:tcW w:w="1560" w:type="dxa"/>
            <w:vAlign w:val="center"/>
          </w:tcPr>
          <w:p w14:paraId="2D38E3FB" w14:textId="773597D3" w:rsidR="00165F17" w:rsidRPr="006A2B0F" w:rsidRDefault="00165F17" w:rsidP="00165F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36.086,82</w:t>
            </w:r>
          </w:p>
        </w:tc>
        <w:tc>
          <w:tcPr>
            <w:tcW w:w="1559" w:type="dxa"/>
            <w:vAlign w:val="center"/>
          </w:tcPr>
          <w:p w14:paraId="7A8ED957" w14:textId="6B856264" w:rsidR="00165F17" w:rsidRPr="006A2B0F" w:rsidRDefault="00165F17" w:rsidP="00165F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130,56%</w:t>
            </w:r>
          </w:p>
        </w:tc>
        <w:tc>
          <w:tcPr>
            <w:tcW w:w="1559" w:type="dxa"/>
            <w:vAlign w:val="center"/>
          </w:tcPr>
          <w:p w14:paraId="5534D18B" w14:textId="1C2FAEF4" w:rsidR="00165F17" w:rsidRPr="006A2B0F" w:rsidRDefault="00165F17" w:rsidP="00165F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92,60%</w:t>
            </w:r>
          </w:p>
        </w:tc>
      </w:tr>
      <w:tr w:rsidR="00803102" w:rsidRPr="006A2B0F" w14:paraId="58207332" w14:textId="77777777" w:rsidTr="00C15CC1">
        <w:trPr>
          <w:jc w:val="center"/>
        </w:trPr>
        <w:tc>
          <w:tcPr>
            <w:tcW w:w="803" w:type="dxa"/>
            <w:vAlign w:val="center"/>
          </w:tcPr>
          <w:p w14:paraId="4D9DD97F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</w:t>
            </w:r>
          </w:p>
        </w:tc>
        <w:tc>
          <w:tcPr>
            <w:tcW w:w="5146" w:type="dxa"/>
            <w:vAlign w:val="center"/>
          </w:tcPr>
          <w:p w14:paraId="3BADAD8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na plaće</w:t>
            </w:r>
          </w:p>
        </w:tc>
        <w:tc>
          <w:tcPr>
            <w:tcW w:w="1559" w:type="dxa"/>
            <w:vAlign w:val="center"/>
          </w:tcPr>
          <w:p w14:paraId="10E736CA" w14:textId="023ED6A6" w:rsidR="00803102" w:rsidRPr="006A2B0F" w:rsidRDefault="00830B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46.483,04</w:t>
            </w:r>
          </w:p>
        </w:tc>
        <w:tc>
          <w:tcPr>
            <w:tcW w:w="1559" w:type="dxa"/>
            <w:vAlign w:val="center"/>
          </w:tcPr>
          <w:p w14:paraId="112DAAF1" w14:textId="09AA7B3B" w:rsidR="00803102" w:rsidRPr="006A2B0F" w:rsidRDefault="00830B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62.650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2003A4F0" w14:textId="39CB1175" w:rsidR="00803102" w:rsidRPr="006A2B0F" w:rsidRDefault="00830B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51.436,79</w:t>
            </w:r>
          </w:p>
        </w:tc>
        <w:tc>
          <w:tcPr>
            <w:tcW w:w="1559" w:type="dxa"/>
            <w:vAlign w:val="center"/>
          </w:tcPr>
          <w:p w14:paraId="46DB464E" w14:textId="39C91354" w:rsidR="00803102" w:rsidRPr="006A2B0F" w:rsidRDefault="00830B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110,66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6525043D" w14:textId="278DE284" w:rsidR="00803102" w:rsidRPr="006A2B0F" w:rsidRDefault="00830B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82,10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30B58" w:rsidRPr="006A2B0F" w14:paraId="3177ED78" w14:textId="77777777" w:rsidTr="00C15CC1">
        <w:trPr>
          <w:jc w:val="center"/>
        </w:trPr>
        <w:tc>
          <w:tcPr>
            <w:tcW w:w="803" w:type="dxa"/>
            <w:vAlign w:val="center"/>
          </w:tcPr>
          <w:p w14:paraId="6FF0399A" w14:textId="77777777" w:rsidR="00830B58" w:rsidRPr="006A2B0F" w:rsidRDefault="00830B58" w:rsidP="00830B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</w:t>
            </w:r>
          </w:p>
        </w:tc>
        <w:tc>
          <w:tcPr>
            <w:tcW w:w="5146" w:type="dxa"/>
            <w:vAlign w:val="center"/>
          </w:tcPr>
          <w:p w14:paraId="6DDEAD1F" w14:textId="77777777" w:rsidR="00830B58" w:rsidRPr="006A2B0F" w:rsidRDefault="00830B58" w:rsidP="00830B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za obavezno zdravstveno osiguranje</w:t>
            </w:r>
          </w:p>
        </w:tc>
        <w:tc>
          <w:tcPr>
            <w:tcW w:w="1559" w:type="dxa"/>
            <w:vAlign w:val="center"/>
          </w:tcPr>
          <w:p w14:paraId="12A478EC" w14:textId="401EAEF5" w:rsidR="00830B58" w:rsidRPr="006A2B0F" w:rsidRDefault="00830B58" w:rsidP="00830B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46.483,04</w:t>
            </w:r>
          </w:p>
        </w:tc>
        <w:tc>
          <w:tcPr>
            <w:tcW w:w="1559" w:type="dxa"/>
            <w:vAlign w:val="center"/>
          </w:tcPr>
          <w:p w14:paraId="4ABFB68C" w14:textId="2A2086DD" w:rsidR="00830B58" w:rsidRPr="006A2B0F" w:rsidRDefault="00830B58" w:rsidP="00830B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62.650,00</w:t>
            </w:r>
          </w:p>
        </w:tc>
        <w:tc>
          <w:tcPr>
            <w:tcW w:w="1560" w:type="dxa"/>
            <w:vAlign w:val="center"/>
          </w:tcPr>
          <w:p w14:paraId="37CAF745" w14:textId="5C12020F" w:rsidR="00830B58" w:rsidRPr="006A2B0F" w:rsidRDefault="00830B58" w:rsidP="00830B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51.436,79</w:t>
            </w:r>
          </w:p>
        </w:tc>
        <w:tc>
          <w:tcPr>
            <w:tcW w:w="1559" w:type="dxa"/>
            <w:vAlign w:val="center"/>
          </w:tcPr>
          <w:p w14:paraId="007CE6D1" w14:textId="404C568A" w:rsidR="00830B58" w:rsidRPr="006A2B0F" w:rsidRDefault="00830B58" w:rsidP="00830B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110,66%</w:t>
            </w:r>
          </w:p>
        </w:tc>
        <w:tc>
          <w:tcPr>
            <w:tcW w:w="1559" w:type="dxa"/>
            <w:vAlign w:val="center"/>
          </w:tcPr>
          <w:p w14:paraId="52AF7DBF" w14:textId="70A14118" w:rsidR="00830B58" w:rsidRPr="006A2B0F" w:rsidRDefault="00830B58" w:rsidP="00830B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82,10%</w:t>
            </w:r>
          </w:p>
        </w:tc>
      </w:tr>
      <w:tr w:rsidR="00803102" w:rsidRPr="006A2B0F" w14:paraId="38DCDB78" w14:textId="77777777" w:rsidTr="00C15CC1">
        <w:trPr>
          <w:jc w:val="center"/>
        </w:trPr>
        <w:tc>
          <w:tcPr>
            <w:tcW w:w="803" w:type="dxa"/>
            <w:vAlign w:val="center"/>
          </w:tcPr>
          <w:p w14:paraId="60DDD4CE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32</w:t>
            </w:r>
          </w:p>
        </w:tc>
        <w:tc>
          <w:tcPr>
            <w:tcW w:w="5146" w:type="dxa"/>
            <w:vAlign w:val="center"/>
          </w:tcPr>
          <w:p w14:paraId="3939D63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559" w:type="dxa"/>
            <w:vAlign w:val="center"/>
          </w:tcPr>
          <w:p w14:paraId="6E53766B" w14:textId="38DB0135" w:rsidR="00803102" w:rsidRPr="006A2B0F" w:rsidRDefault="00E971C1" w:rsidP="005A75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156.301,42</w:t>
            </w:r>
          </w:p>
        </w:tc>
        <w:tc>
          <w:tcPr>
            <w:tcW w:w="1559" w:type="dxa"/>
            <w:vAlign w:val="center"/>
          </w:tcPr>
          <w:p w14:paraId="0BC59395" w14:textId="7FC82A6A" w:rsidR="00803102" w:rsidRPr="006A2B0F" w:rsidRDefault="00E971C1" w:rsidP="005A75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360.485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5BB7FEA" w14:textId="782B5B31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231.822,47</w:t>
            </w:r>
          </w:p>
        </w:tc>
        <w:tc>
          <w:tcPr>
            <w:tcW w:w="1559" w:type="dxa"/>
            <w:vAlign w:val="center"/>
          </w:tcPr>
          <w:p w14:paraId="7527041A" w14:textId="66EC328E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</w:t>
            </w:r>
            <w:r w:rsidR="00E971C1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8,32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4D56050" w14:textId="5E6C6EE1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64,31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24E7D7DC" w14:textId="77777777" w:rsidTr="00C15CC1">
        <w:trPr>
          <w:jc w:val="center"/>
        </w:trPr>
        <w:tc>
          <w:tcPr>
            <w:tcW w:w="803" w:type="dxa"/>
            <w:vAlign w:val="center"/>
          </w:tcPr>
          <w:p w14:paraId="0BDC4E8F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</w:t>
            </w:r>
          </w:p>
        </w:tc>
        <w:tc>
          <w:tcPr>
            <w:tcW w:w="5146" w:type="dxa"/>
            <w:vAlign w:val="center"/>
          </w:tcPr>
          <w:p w14:paraId="1DBE6DC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troškova zaposlenima</w:t>
            </w:r>
          </w:p>
        </w:tc>
        <w:tc>
          <w:tcPr>
            <w:tcW w:w="1559" w:type="dxa"/>
            <w:vAlign w:val="center"/>
          </w:tcPr>
          <w:p w14:paraId="2D8592F4" w14:textId="3C119650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44.486,40</w:t>
            </w:r>
          </w:p>
        </w:tc>
        <w:tc>
          <w:tcPr>
            <w:tcW w:w="1559" w:type="dxa"/>
            <w:vAlign w:val="center"/>
          </w:tcPr>
          <w:p w14:paraId="78636E8F" w14:textId="607EB4F5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54.240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9954E93" w14:textId="1F207704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41.280,56</w:t>
            </w:r>
          </w:p>
        </w:tc>
        <w:tc>
          <w:tcPr>
            <w:tcW w:w="1559" w:type="dxa"/>
            <w:vAlign w:val="center"/>
          </w:tcPr>
          <w:p w14:paraId="0FF4232A" w14:textId="50E2702A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92,79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23F5B9DB" w14:textId="4D435647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76,11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C5142AD" w14:textId="77777777" w:rsidTr="00C15CC1">
        <w:trPr>
          <w:jc w:val="center"/>
        </w:trPr>
        <w:tc>
          <w:tcPr>
            <w:tcW w:w="803" w:type="dxa"/>
            <w:vAlign w:val="center"/>
          </w:tcPr>
          <w:p w14:paraId="6D50C978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3211</w:t>
            </w:r>
          </w:p>
        </w:tc>
        <w:tc>
          <w:tcPr>
            <w:tcW w:w="5146" w:type="dxa"/>
            <w:vAlign w:val="center"/>
          </w:tcPr>
          <w:p w14:paraId="4F4DE36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Službena putovanja</w:t>
            </w:r>
          </w:p>
        </w:tc>
        <w:tc>
          <w:tcPr>
            <w:tcW w:w="1559" w:type="dxa"/>
            <w:vAlign w:val="center"/>
          </w:tcPr>
          <w:p w14:paraId="7A1A968C" w14:textId="745FD57E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20.909,40</w:t>
            </w:r>
          </w:p>
        </w:tc>
        <w:tc>
          <w:tcPr>
            <w:tcW w:w="1559" w:type="dxa"/>
            <w:vAlign w:val="center"/>
          </w:tcPr>
          <w:p w14:paraId="690E83C6" w14:textId="0C6CA344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30.840,00</w:t>
            </w:r>
          </w:p>
        </w:tc>
        <w:tc>
          <w:tcPr>
            <w:tcW w:w="1560" w:type="dxa"/>
            <w:vAlign w:val="center"/>
          </w:tcPr>
          <w:p w14:paraId="6CE23A23" w14:textId="5ECAF864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21.560,49</w:t>
            </w:r>
          </w:p>
        </w:tc>
        <w:tc>
          <w:tcPr>
            <w:tcW w:w="1559" w:type="dxa"/>
            <w:vAlign w:val="center"/>
          </w:tcPr>
          <w:p w14:paraId="3DDD508B" w14:textId="6EAEBE43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103,11%</w:t>
            </w:r>
          </w:p>
        </w:tc>
        <w:tc>
          <w:tcPr>
            <w:tcW w:w="1559" w:type="dxa"/>
            <w:vAlign w:val="center"/>
          </w:tcPr>
          <w:p w14:paraId="6E67B9D6" w14:textId="617D3B89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69,91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36347CE" w14:textId="77777777" w:rsidTr="00C15CC1">
        <w:trPr>
          <w:jc w:val="center"/>
        </w:trPr>
        <w:tc>
          <w:tcPr>
            <w:tcW w:w="803" w:type="dxa"/>
            <w:vAlign w:val="center"/>
          </w:tcPr>
          <w:p w14:paraId="7477AB1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3212</w:t>
            </w:r>
          </w:p>
        </w:tc>
        <w:tc>
          <w:tcPr>
            <w:tcW w:w="5146" w:type="dxa"/>
            <w:vAlign w:val="center"/>
          </w:tcPr>
          <w:p w14:paraId="2DEC16D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za prijevoz, za rad na terenu i odvojeni život</w:t>
            </w:r>
          </w:p>
        </w:tc>
        <w:tc>
          <w:tcPr>
            <w:tcW w:w="1559" w:type="dxa"/>
            <w:vAlign w:val="center"/>
          </w:tcPr>
          <w:p w14:paraId="5535A6B3" w14:textId="1976507D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14.358,74</w:t>
            </w:r>
          </w:p>
        </w:tc>
        <w:tc>
          <w:tcPr>
            <w:tcW w:w="1559" w:type="dxa"/>
            <w:vAlign w:val="center"/>
          </w:tcPr>
          <w:p w14:paraId="06490463" w14:textId="23742EB6" w:rsidR="00803102" w:rsidRPr="006A2B0F" w:rsidRDefault="003B445C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16.145</w:t>
            </w:r>
            <w:r w:rsidR="00E971C1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A39F7E6" w14:textId="1A71B92A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15.244,39</w:t>
            </w:r>
          </w:p>
        </w:tc>
        <w:tc>
          <w:tcPr>
            <w:tcW w:w="1559" w:type="dxa"/>
            <w:vAlign w:val="center"/>
          </w:tcPr>
          <w:p w14:paraId="5CE7F34B" w14:textId="5599195D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106,17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96D5BB0" w14:textId="2FA0B0F2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94,42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E5AC634" w14:textId="77777777" w:rsidTr="00C15CC1">
        <w:trPr>
          <w:jc w:val="center"/>
        </w:trPr>
        <w:tc>
          <w:tcPr>
            <w:tcW w:w="803" w:type="dxa"/>
            <w:vAlign w:val="center"/>
          </w:tcPr>
          <w:p w14:paraId="12C66DA6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3213</w:t>
            </w:r>
          </w:p>
        </w:tc>
        <w:tc>
          <w:tcPr>
            <w:tcW w:w="5146" w:type="dxa"/>
            <w:vAlign w:val="center"/>
          </w:tcPr>
          <w:p w14:paraId="61693B8A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Stručno usavršavanje zaposlenika</w:t>
            </w:r>
          </w:p>
        </w:tc>
        <w:tc>
          <w:tcPr>
            <w:tcW w:w="1559" w:type="dxa"/>
            <w:vAlign w:val="center"/>
          </w:tcPr>
          <w:p w14:paraId="1D1E0CDA" w14:textId="59598306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9.21</w:t>
            </w:r>
            <w:r w:rsidR="003B445C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,26</w:t>
            </w:r>
          </w:p>
        </w:tc>
        <w:tc>
          <w:tcPr>
            <w:tcW w:w="1559" w:type="dxa"/>
            <w:vAlign w:val="center"/>
          </w:tcPr>
          <w:p w14:paraId="24DFDA5E" w14:textId="31088052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7.255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AC91374" w14:textId="46DB1F84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4.475,68</w:t>
            </w:r>
          </w:p>
        </w:tc>
        <w:tc>
          <w:tcPr>
            <w:tcW w:w="1559" w:type="dxa"/>
            <w:vAlign w:val="center"/>
          </w:tcPr>
          <w:p w14:paraId="4EFC11AC" w14:textId="3F421BDF" w:rsidR="00803102" w:rsidRPr="006A2B0F" w:rsidRDefault="00E971C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48,5</w:t>
            </w:r>
            <w:r w:rsidR="00F65159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373EC6BB" w14:textId="42BE8F4B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61,69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34106ECC" w14:textId="77777777" w:rsidTr="00C15CC1">
        <w:trPr>
          <w:jc w:val="center"/>
        </w:trPr>
        <w:tc>
          <w:tcPr>
            <w:tcW w:w="803" w:type="dxa"/>
            <w:vAlign w:val="center"/>
          </w:tcPr>
          <w:p w14:paraId="7B72A3A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</w:t>
            </w:r>
          </w:p>
        </w:tc>
        <w:tc>
          <w:tcPr>
            <w:tcW w:w="5146" w:type="dxa"/>
            <w:vAlign w:val="center"/>
          </w:tcPr>
          <w:p w14:paraId="77FD847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materijal i energiju</w:t>
            </w:r>
          </w:p>
        </w:tc>
        <w:tc>
          <w:tcPr>
            <w:tcW w:w="1559" w:type="dxa"/>
            <w:vAlign w:val="center"/>
          </w:tcPr>
          <w:p w14:paraId="53CF2BEF" w14:textId="136C9676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14.887,84</w:t>
            </w:r>
          </w:p>
        </w:tc>
        <w:tc>
          <w:tcPr>
            <w:tcW w:w="1559" w:type="dxa"/>
            <w:vAlign w:val="center"/>
          </w:tcPr>
          <w:p w14:paraId="4DD548EA" w14:textId="4D72EB8E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26.238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0A5B11BA" w14:textId="2A51B9BE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20.456,71</w:t>
            </w:r>
          </w:p>
        </w:tc>
        <w:tc>
          <w:tcPr>
            <w:tcW w:w="1559" w:type="dxa"/>
            <w:vAlign w:val="center"/>
          </w:tcPr>
          <w:p w14:paraId="62C3C271" w14:textId="6621610A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137,41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0B0759E5" w14:textId="5491D12B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77,97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8A9A450" w14:textId="77777777" w:rsidTr="00C15CC1">
        <w:trPr>
          <w:jc w:val="center"/>
        </w:trPr>
        <w:tc>
          <w:tcPr>
            <w:tcW w:w="803" w:type="dxa"/>
            <w:vAlign w:val="center"/>
          </w:tcPr>
          <w:p w14:paraId="7577625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3221</w:t>
            </w:r>
          </w:p>
        </w:tc>
        <w:tc>
          <w:tcPr>
            <w:tcW w:w="5146" w:type="dxa"/>
            <w:vAlign w:val="center"/>
          </w:tcPr>
          <w:p w14:paraId="0003D84F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Uredski materijal i ostali materijalni rashodi</w:t>
            </w:r>
          </w:p>
        </w:tc>
        <w:tc>
          <w:tcPr>
            <w:tcW w:w="1559" w:type="dxa"/>
            <w:vAlign w:val="center"/>
          </w:tcPr>
          <w:p w14:paraId="2E8DED32" w14:textId="76BC9227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7.268,72</w:t>
            </w:r>
          </w:p>
        </w:tc>
        <w:tc>
          <w:tcPr>
            <w:tcW w:w="1559" w:type="dxa"/>
            <w:vAlign w:val="center"/>
          </w:tcPr>
          <w:p w14:paraId="15D16E3C" w14:textId="00302EA9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10.590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E7EB7A6" w14:textId="220A6B4F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8.354,33</w:t>
            </w:r>
          </w:p>
        </w:tc>
        <w:tc>
          <w:tcPr>
            <w:tcW w:w="1559" w:type="dxa"/>
            <w:vAlign w:val="center"/>
          </w:tcPr>
          <w:p w14:paraId="7E580DD7" w14:textId="7BBAB27F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114,94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317F1F3" w14:textId="497B6ABC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78,89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25B5CD31" w14:textId="77777777" w:rsidTr="00C15CC1">
        <w:trPr>
          <w:jc w:val="center"/>
        </w:trPr>
        <w:tc>
          <w:tcPr>
            <w:tcW w:w="803" w:type="dxa"/>
            <w:vAlign w:val="center"/>
          </w:tcPr>
          <w:p w14:paraId="3F114AE8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3223</w:t>
            </w:r>
          </w:p>
        </w:tc>
        <w:tc>
          <w:tcPr>
            <w:tcW w:w="5146" w:type="dxa"/>
            <w:vAlign w:val="center"/>
          </w:tcPr>
          <w:p w14:paraId="157388D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Energija</w:t>
            </w:r>
          </w:p>
        </w:tc>
        <w:tc>
          <w:tcPr>
            <w:tcW w:w="1559" w:type="dxa"/>
            <w:vAlign w:val="center"/>
          </w:tcPr>
          <w:p w14:paraId="0C5467EF" w14:textId="3D8B9571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5.619,05</w:t>
            </w:r>
          </w:p>
        </w:tc>
        <w:tc>
          <w:tcPr>
            <w:tcW w:w="1559" w:type="dxa"/>
            <w:vAlign w:val="center"/>
          </w:tcPr>
          <w:p w14:paraId="1D240388" w14:textId="0344EC81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9.290,00</w:t>
            </w:r>
          </w:p>
        </w:tc>
        <w:tc>
          <w:tcPr>
            <w:tcW w:w="1560" w:type="dxa"/>
            <w:vAlign w:val="center"/>
          </w:tcPr>
          <w:p w14:paraId="09A84BBB" w14:textId="7F531912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7.391,87</w:t>
            </w:r>
          </w:p>
        </w:tc>
        <w:tc>
          <w:tcPr>
            <w:tcW w:w="1559" w:type="dxa"/>
            <w:vAlign w:val="center"/>
          </w:tcPr>
          <w:p w14:paraId="186DF7D0" w14:textId="65CFB43D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131,55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DC8A6DA" w14:textId="4D51CD75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79,57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B93610F" w14:textId="77777777" w:rsidTr="00C15CC1">
        <w:trPr>
          <w:jc w:val="center"/>
        </w:trPr>
        <w:tc>
          <w:tcPr>
            <w:tcW w:w="803" w:type="dxa"/>
            <w:vAlign w:val="center"/>
          </w:tcPr>
          <w:p w14:paraId="4A8D9C07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3224</w:t>
            </w:r>
          </w:p>
        </w:tc>
        <w:tc>
          <w:tcPr>
            <w:tcW w:w="5146" w:type="dxa"/>
            <w:vAlign w:val="center"/>
          </w:tcPr>
          <w:p w14:paraId="35A7A078" w14:textId="70D8CA01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Materijal i dijelovi za tekuće i investicijsko </w:t>
            </w:r>
            <w:r w:rsidR="0067718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drža</w:t>
            </w:r>
            <w:r w:rsidR="00F65159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</w:t>
            </w:r>
          </w:p>
        </w:tc>
        <w:tc>
          <w:tcPr>
            <w:tcW w:w="1559" w:type="dxa"/>
            <w:vAlign w:val="center"/>
          </w:tcPr>
          <w:p w14:paraId="7AC3F2F5" w14:textId="30CA6B72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576,08</w:t>
            </w:r>
          </w:p>
        </w:tc>
        <w:tc>
          <w:tcPr>
            <w:tcW w:w="1559" w:type="dxa"/>
            <w:vAlign w:val="center"/>
          </w:tcPr>
          <w:p w14:paraId="4A4C9943" w14:textId="6358B988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3.858,00</w:t>
            </w:r>
          </w:p>
        </w:tc>
        <w:tc>
          <w:tcPr>
            <w:tcW w:w="1560" w:type="dxa"/>
            <w:vAlign w:val="center"/>
          </w:tcPr>
          <w:p w14:paraId="77A08DB5" w14:textId="78C74354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2.446,44</w:t>
            </w:r>
          </w:p>
        </w:tc>
        <w:tc>
          <w:tcPr>
            <w:tcW w:w="1559" w:type="dxa"/>
            <w:vAlign w:val="center"/>
          </w:tcPr>
          <w:p w14:paraId="656947F2" w14:textId="37A01225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424,67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2F9FE09" w14:textId="5EAFBCEA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63,41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9671516" w14:textId="77777777" w:rsidTr="00C15CC1">
        <w:trPr>
          <w:jc w:val="center"/>
        </w:trPr>
        <w:tc>
          <w:tcPr>
            <w:tcW w:w="803" w:type="dxa"/>
            <w:vAlign w:val="center"/>
          </w:tcPr>
          <w:p w14:paraId="7FFF425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3225</w:t>
            </w:r>
          </w:p>
        </w:tc>
        <w:tc>
          <w:tcPr>
            <w:tcW w:w="5146" w:type="dxa"/>
            <w:vAlign w:val="center"/>
          </w:tcPr>
          <w:p w14:paraId="7EA188F4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Sitni inventar i auto gume</w:t>
            </w:r>
          </w:p>
        </w:tc>
        <w:tc>
          <w:tcPr>
            <w:tcW w:w="1559" w:type="dxa"/>
            <w:vAlign w:val="center"/>
          </w:tcPr>
          <w:p w14:paraId="160FE810" w14:textId="54366433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1.423,99</w:t>
            </w:r>
          </w:p>
        </w:tc>
        <w:tc>
          <w:tcPr>
            <w:tcW w:w="1559" w:type="dxa"/>
            <w:vAlign w:val="center"/>
          </w:tcPr>
          <w:p w14:paraId="7B46652E" w14:textId="084AB155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2.500,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</w:t>
            </w:r>
          </w:p>
        </w:tc>
        <w:tc>
          <w:tcPr>
            <w:tcW w:w="1560" w:type="dxa"/>
            <w:vAlign w:val="center"/>
          </w:tcPr>
          <w:p w14:paraId="56A49ED4" w14:textId="76EFAADA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2.264,07</w:t>
            </w:r>
          </w:p>
        </w:tc>
        <w:tc>
          <w:tcPr>
            <w:tcW w:w="1559" w:type="dxa"/>
            <w:vAlign w:val="center"/>
          </w:tcPr>
          <w:p w14:paraId="046E1472" w14:textId="26AE7090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158,99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0E12FC56" w14:textId="67A537AA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90,56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5AD79E0" w14:textId="77777777" w:rsidTr="00C15CC1">
        <w:trPr>
          <w:jc w:val="center"/>
        </w:trPr>
        <w:tc>
          <w:tcPr>
            <w:tcW w:w="803" w:type="dxa"/>
            <w:vAlign w:val="center"/>
          </w:tcPr>
          <w:p w14:paraId="52A0960D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323</w:t>
            </w:r>
          </w:p>
        </w:tc>
        <w:tc>
          <w:tcPr>
            <w:tcW w:w="5146" w:type="dxa"/>
            <w:vAlign w:val="center"/>
          </w:tcPr>
          <w:p w14:paraId="75A95F3D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usluge</w:t>
            </w:r>
          </w:p>
        </w:tc>
        <w:tc>
          <w:tcPr>
            <w:tcW w:w="1559" w:type="dxa"/>
            <w:vAlign w:val="center"/>
          </w:tcPr>
          <w:p w14:paraId="7DB7A449" w14:textId="41D8FC2F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79.264,73</w:t>
            </w:r>
          </w:p>
        </w:tc>
        <w:tc>
          <w:tcPr>
            <w:tcW w:w="1559" w:type="dxa"/>
            <w:vAlign w:val="center"/>
          </w:tcPr>
          <w:p w14:paraId="092691EA" w14:textId="45DB26EE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244.555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27B86832" w14:textId="4DB874BA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143.281,52</w:t>
            </w:r>
          </w:p>
        </w:tc>
        <w:tc>
          <w:tcPr>
            <w:tcW w:w="1559" w:type="dxa"/>
            <w:vAlign w:val="center"/>
          </w:tcPr>
          <w:p w14:paraId="688203C1" w14:textId="7EDB65C9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180,76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5ED6E8CA" w14:textId="7C1B2417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58,59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36720B16" w14:textId="77777777" w:rsidTr="00C15CC1">
        <w:trPr>
          <w:jc w:val="center"/>
        </w:trPr>
        <w:tc>
          <w:tcPr>
            <w:tcW w:w="803" w:type="dxa"/>
            <w:vAlign w:val="center"/>
          </w:tcPr>
          <w:p w14:paraId="1B29872E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3231</w:t>
            </w:r>
          </w:p>
        </w:tc>
        <w:tc>
          <w:tcPr>
            <w:tcW w:w="5146" w:type="dxa"/>
            <w:vAlign w:val="center"/>
          </w:tcPr>
          <w:p w14:paraId="2333AC7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telefona, pošte i prijevoza</w:t>
            </w:r>
          </w:p>
        </w:tc>
        <w:tc>
          <w:tcPr>
            <w:tcW w:w="1559" w:type="dxa"/>
            <w:vAlign w:val="center"/>
          </w:tcPr>
          <w:p w14:paraId="106CAA13" w14:textId="34D6EAE5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6.729,40</w:t>
            </w:r>
          </w:p>
        </w:tc>
        <w:tc>
          <w:tcPr>
            <w:tcW w:w="1559" w:type="dxa"/>
            <w:vAlign w:val="center"/>
          </w:tcPr>
          <w:p w14:paraId="33C56801" w14:textId="2C818033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8.910,00</w:t>
            </w:r>
          </w:p>
        </w:tc>
        <w:tc>
          <w:tcPr>
            <w:tcW w:w="1560" w:type="dxa"/>
            <w:vAlign w:val="center"/>
          </w:tcPr>
          <w:p w14:paraId="3733C4AE" w14:textId="71CDCDF3" w:rsidR="00803102" w:rsidRPr="006A2B0F" w:rsidRDefault="000325D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6.104,40</w:t>
            </w:r>
          </w:p>
        </w:tc>
        <w:tc>
          <w:tcPr>
            <w:tcW w:w="1559" w:type="dxa"/>
            <w:vAlign w:val="center"/>
          </w:tcPr>
          <w:p w14:paraId="580D2AA4" w14:textId="2079035B" w:rsidR="00803102" w:rsidRPr="006A2B0F" w:rsidRDefault="00B7297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90,71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0C29B0D8" w14:textId="6F959821" w:rsidR="00803102" w:rsidRPr="006A2B0F" w:rsidRDefault="00B7297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68,51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8CA2832" w14:textId="77777777" w:rsidTr="00C15CC1">
        <w:trPr>
          <w:jc w:val="center"/>
        </w:trPr>
        <w:tc>
          <w:tcPr>
            <w:tcW w:w="803" w:type="dxa"/>
            <w:vAlign w:val="center"/>
          </w:tcPr>
          <w:p w14:paraId="502022CF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3232</w:t>
            </w:r>
          </w:p>
        </w:tc>
        <w:tc>
          <w:tcPr>
            <w:tcW w:w="5146" w:type="dxa"/>
            <w:vAlign w:val="center"/>
          </w:tcPr>
          <w:p w14:paraId="7BE4348A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tekućeg i investicijskog održavanja</w:t>
            </w:r>
          </w:p>
        </w:tc>
        <w:tc>
          <w:tcPr>
            <w:tcW w:w="1559" w:type="dxa"/>
            <w:vAlign w:val="center"/>
          </w:tcPr>
          <w:p w14:paraId="7CC08E10" w14:textId="46D49BFC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4.557,96</w:t>
            </w:r>
          </w:p>
        </w:tc>
        <w:tc>
          <w:tcPr>
            <w:tcW w:w="1559" w:type="dxa"/>
            <w:vAlign w:val="center"/>
          </w:tcPr>
          <w:p w14:paraId="0216E671" w14:textId="23D7125C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9.315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43931C72" w14:textId="5BB89A6A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4.491,69</w:t>
            </w:r>
          </w:p>
        </w:tc>
        <w:tc>
          <w:tcPr>
            <w:tcW w:w="1559" w:type="dxa"/>
            <w:vAlign w:val="center"/>
          </w:tcPr>
          <w:p w14:paraId="7DB71F5F" w14:textId="3743AA65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98,5</w:t>
            </w:r>
            <w:r w:rsidR="003B445C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53B8E2C" w14:textId="36B42F7B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48,22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F85E4F3" w14:textId="77777777" w:rsidTr="00C15CC1">
        <w:trPr>
          <w:jc w:val="center"/>
        </w:trPr>
        <w:tc>
          <w:tcPr>
            <w:tcW w:w="803" w:type="dxa"/>
            <w:vAlign w:val="center"/>
          </w:tcPr>
          <w:p w14:paraId="4E74C388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3233</w:t>
            </w:r>
          </w:p>
        </w:tc>
        <w:tc>
          <w:tcPr>
            <w:tcW w:w="5146" w:type="dxa"/>
            <w:vAlign w:val="center"/>
          </w:tcPr>
          <w:p w14:paraId="707E092D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promidžbe i informiranja</w:t>
            </w:r>
          </w:p>
        </w:tc>
        <w:tc>
          <w:tcPr>
            <w:tcW w:w="1559" w:type="dxa"/>
            <w:vAlign w:val="center"/>
          </w:tcPr>
          <w:p w14:paraId="2E32FC35" w14:textId="0CE2DBAA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18.833,63</w:t>
            </w:r>
          </w:p>
        </w:tc>
        <w:tc>
          <w:tcPr>
            <w:tcW w:w="1559" w:type="dxa"/>
            <w:vAlign w:val="center"/>
          </w:tcPr>
          <w:p w14:paraId="750256A4" w14:textId="6F9176AB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40.140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75C2C62A" w14:textId="512CBEF0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31.465,10</w:t>
            </w:r>
          </w:p>
        </w:tc>
        <w:tc>
          <w:tcPr>
            <w:tcW w:w="1559" w:type="dxa"/>
            <w:vAlign w:val="center"/>
          </w:tcPr>
          <w:p w14:paraId="4C392B60" w14:textId="4A6E8BBE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167,07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841CDED" w14:textId="4297771F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78,39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C1E5276" w14:textId="77777777" w:rsidTr="00C15CC1">
        <w:trPr>
          <w:jc w:val="center"/>
        </w:trPr>
        <w:tc>
          <w:tcPr>
            <w:tcW w:w="803" w:type="dxa"/>
            <w:vAlign w:val="center"/>
          </w:tcPr>
          <w:p w14:paraId="6EAD0EA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3234</w:t>
            </w:r>
          </w:p>
        </w:tc>
        <w:tc>
          <w:tcPr>
            <w:tcW w:w="5146" w:type="dxa"/>
            <w:vAlign w:val="center"/>
          </w:tcPr>
          <w:p w14:paraId="0018D8DF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Komunalne usluge</w:t>
            </w:r>
          </w:p>
        </w:tc>
        <w:tc>
          <w:tcPr>
            <w:tcW w:w="1559" w:type="dxa"/>
            <w:vAlign w:val="center"/>
          </w:tcPr>
          <w:p w14:paraId="54448434" w14:textId="76A61BBD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3.638,52</w:t>
            </w:r>
          </w:p>
        </w:tc>
        <w:tc>
          <w:tcPr>
            <w:tcW w:w="1559" w:type="dxa"/>
            <w:vAlign w:val="center"/>
          </w:tcPr>
          <w:p w14:paraId="6390AAA3" w14:textId="5C0CDF88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3.985,00</w:t>
            </w:r>
          </w:p>
        </w:tc>
        <w:tc>
          <w:tcPr>
            <w:tcW w:w="1560" w:type="dxa"/>
            <w:vAlign w:val="center"/>
          </w:tcPr>
          <w:p w14:paraId="3FEF1E55" w14:textId="385B33B6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3.653,28</w:t>
            </w:r>
          </w:p>
        </w:tc>
        <w:tc>
          <w:tcPr>
            <w:tcW w:w="1559" w:type="dxa"/>
            <w:vAlign w:val="center"/>
          </w:tcPr>
          <w:p w14:paraId="536B8B07" w14:textId="2A7E2EFD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100,4</w:t>
            </w:r>
            <w:r w:rsidR="0031661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5FC177D0" w14:textId="064BAC83" w:rsidR="00803102" w:rsidRPr="006A2B0F" w:rsidRDefault="00F96A2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91,68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6FAB827A" w14:textId="77777777" w:rsidTr="00C15CC1">
        <w:trPr>
          <w:jc w:val="center"/>
        </w:trPr>
        <w:tc>
          <w:tcPr>
            <w:tcW w:w="803" w:type="dxa"/>
            <w:vAlign w:val="center"/>
          </w:tcPr>
          <w:p w14:paraId="524E41E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3235</w:t>
            </w:r>
          </w:p>
        </w:tc>
        <w:tc>
          <w:tcPr>
            <w:tcW w:w="5146" w:type="dxa"/>
            <w:vAlign w:val="center"/>
          </w:tcPr>
          <w:p w14:paraId="1F43D866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Zakupnine i najamnine</w:t>
            </w:r>
          </w:p>
        </w:tc>
        <w:tc>
          <w:tcPr>
            <w:tcW w:w="1559" w:type="dxa"/>
            <w:vAlign w:val="center"/>
          </w:tcPr>
          <w:p w14:paraId="08D1767B" w14:textId="03236248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5.059,54</w:t>
            </w:r>
          </w:p>
        </w:tc>
        <w:tc>
          <w:tcPr>
            <w:tcW w:w="1559" w:type="dxa"/>
            <w:vAlign w:val="center"/>
          </w:tcPr>
          <w:p w14:paraId="66BB13B7" w14:textId="2173E751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5.760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1F034D0" w14:textId="582D9F2B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5.333,45</w:t>
            </w:r>
          </w:p>
        </w:tc>
        <w:tc>
          <w:tcPr>
            <w:tcW w:w="1559" w:type="dxa"/>
            <w:vAlign w:val="center"/>
          </w:tcPr>
          <w:p w14:paraId="6726E787" w14:textId="618FDFA7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105,41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5A8D0952" w14:textId="0BDE5E72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92,59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85EDA15" w14:textId="77777777" w:rsidTr="00C15CC1">
        <w:trPr>
          <w:jc w:val="center"/>
        </w:trPr>
        <w:tc>
          <w:tcPr>
            <w:tcW w:w="803" w:type="dxa"/>
            <w:vAlign w:val="center"/>
          </w:tcPr>
          <w:p w14:paraId="21B96D8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3236</w:t>
            </w:r>
          </w:p>
        </w:tc>
        <w:tc>
          <w:tcPr>
            <w:tcW w:w="5146" w:type="dxa"/>
            <w:vAlign w:val="center"/>
          </w:tcPr>
          <w:p w14:paraId="61AC44A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Zdravstvene i veterinarske usluge</w:t>
            </w:r>
          </w:p>
        </w:tc>
        <w:tc>
          <w:tcPr>
            <w:tcW w:w="1559" w:type="dxa"/>
            <w:vAlign w:val="center"/>
          </w:tcPr>
          <w:p w14:paraId="28D20492" w14:textId="330954D8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5.541,15</w:t>
            </w:r>
          </w:p>
        </w:tc>
        <w:tc>
          <w:tcPr>
            <w:tcW w:w="1559" w:type="dxa"/>
            <w:vAlign w:val="center"/>
          </w:tcPr>
          <w:p w14:paraId="1C062956" w14:textId="00A5E768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5.030,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</w:t>
            </w:r>
          </w:p>
        </w:tc>
        <w:tc>
          <w:tcPr>
            <w:tcW w:w="1560" w:type="dxa"/>
            <w:vAlign w:val="center"/>
          </w:tcPr>
          <w:p w14:paraId="336C88FB" w14:textId="0057BD95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4.695,68</w:t>
            </w:r>
          </w:p>
        </w:tc>
        <w:tc>
          <w:tcPr>
            <w:tcW w:w="1559" w:type="dxa"/>
            <w:vAlign w:val="center"/>
          </w:tcPr>
          <w:p w14:paraId="65CFDC9F" w14:textId="277BAD16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84,74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24FBEFD" w14:textId="47359BFD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93,35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D8371F1" w14:textId="77777777" w:rsidTr="00C15CC1">
        <w:trPr>
          <w:jc w:val="center"/>
        </w:trPr>
        <w:tc>
          <w:tcPr>
            <w:tcW w:w="803" w:type="dxa"/>
            <w:vAlign w:val="center"/>
          </w:tcPr>
          <w:p w14:paraId="69E1404D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3237</w:t>
            </w:r>
          </w:p>
        </w:tc>
        <w:tc>
          <w:tcPr>
            <w:tcW w:w="5146" w:type="dxa"/>
            <w:vAlign w:val="center"/>
          </w:tcPr>
          <w:p w14:paraId="016CC0BD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Intelektualne i osobne usluge</w:t>
            </w:r>
          </w:p>
        </w:tc>
        <w:tc>
          <w:tcPr>
            <w:tcW w:w="1559" w:type="dxa"/>
            <w:vAlign w:val="center"/>
          </w:tcPr>
          <w:p w14:paraId="442AC251" w14:textId="28AEE3DC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23.303,22</w:t>
            </w:r>
          </w:p>
        </w:tc>
        <w:tc>
          <w:tcPr>
            <w:tcW w:w="1559" w:type="dxa"/>
            <w:vAlign w:val="center"/>
          </w:tcPr>
          <w:p w14:paraId="376D64FC" w14:textId="629CEF0C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151.390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7AC7E864" w14:textId="6F61C1B3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73.210,00</w:t>
            </w:r>
          </w:p>
        </w:tc>
        <w:tc>
          <w:tcPr>
            <w:tcW w:w="1559" w:type="dxa"/>
            <w:vAlign w:val="center"/>
          </w:tcPr>
          <w:p w14:paraId="622B4427" w14:textId="44B348CC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314,16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30E287E0" w14:textId="66445F81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48,36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687EE78" w14:textId="77777777" w:rsidTr="00C15CC1">
        <w:trPr>
          <w:jc w:val="center"/>
        </w:trPr>
        <w:tc>
          <w:tcPr>
            <w:tcW w:w="803" w:type="dxa"/>
            <w:vAlign w:val="center"/>
          </w:tcPr>
          <w:p w14:paraId="36B71506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3238</w:t>
            </w:r>
          </w:p>
        </w:tc>
        <w:tc>
          <w:tcPr>
            <w:tcW w:w="5146" w:type="dxa"/>
            <w:vAlign w:val="center"/>
          </w:tcPr>
          <w:p w14:paraId="28AE655E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Računalne usluge</w:t>
            </w:r>
          </w:p>
        </w:tc>
        <w:tc>
          <w:tcPr>
            <w:tcW w:w="1559" w:type="dxa"/>
            <w:vAlign w:val="center"/>
          </w:tcPr>
          <w:p w14:paraId="457386FD" w14:textId="6002097E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2.986,26</w:t>
            </w:r>
          </w:p>
        </w:tc>
        <w:tc>
          <w:tcPr>
            <w:tcW w:w="1559" w:type="dxa"/>
            <w:vAlign w:val="center"/>
          </w:tcPr>
          <w:p w14:paraId="7C0E6874" w14:textId="6822F645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3.600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4FCA3475" w14:textId="0D88DC15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3.583,56</w:t>
            </w:r>
          </w:p>
        </w:tc>
        <w:tc>
          <w:tcPr>
            <w:tcW w:w="1559" w:type="dxa"/>
            <w:vAlign w:val="center"/>
          </w:tcPr>
          <w:p w14:paraId="1B4B5256" w14:textId="347A7146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,00%</w:t>
            </w:r>
          </w:p>
        </w:tc>
        <w:tc>
          <w:tcPr>
            <w:tcW w:w="1559" w:type="dxa"/>
            <w:vAlign w:val="center"/>
          </w:tcPr>
          <w:p w14:paraId="33A25AF3" w14:textId="3A011667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99,54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2EA32DDC" w14:textId="77777777" w:rsidTr="00C15CC1">
        <w:trPr>
          <w:jc w:val="center"/>
        </w:trPr>
        <w:tc>
          <w:tcPr>
            <w:tcW w:w="803" w:type="dxa"/>
            <w:vAlign w:val="center"/>
          </w:tcPr>
          <w:p w14:paraId="57D47BC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3239</w:t>
            </w:r>
          </w:p>
        </w:tc>
        <w:tc>
          <w:tcPr>
            <w:tcW w:w="5146" w:type="dxa"/>
            <w:vAlign w:val="center"/>
          </w:tcPr>
          <w:p w14:paraId="0D9CBF96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Ostale usluge</w:t>
            </w:r>
          </w:p>
        </w:tc>
        <w:tc>
          <w:tcPr>
            <w:tcW w:w="1559" w:type="dxa"/>
            <w:vAlign w:val="center"/>
          </w:tcPr>
          <w:p w14:paraId="516E8581" w14:textId="56E9FD13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8.615,05</w:t>
            </w:r>
          </w:p>
        </w:tc>
        <w:tc>
          <w:tcPr>
            <w:tcW w:w="1559" w:type="dxa"/>
            <w:vAlign w:val="center"/>
          </w:tcPr>
          <w:p w14:paraId="18047F8E" w14:textId="248610C2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16.425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7F9E2E51" w14:textId="2E26B9DC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10.744,36</w:t>
            </w:r>
          </w:p>
        </w:tc>
        <w:tc>
          <w:tcPr>
            <w:tcW w:w="1559" w:type="dxa"/>
            <w:vAlign w:val="center"/>
          </w:tcPr>
          <w:p w14:paraId="7263E16B" w14:textId="11C18217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124,72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CCBB9C8" w14:textId="5B85F5AE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65,41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588B9FF2" w14:textId="77777777" w:rsidTr="00C15CC1">
        <w:trPr>
          <w:jc w:val="center"/>
        </w:trPr>
        <w:tc>
          <w:tcPr>
            <w:tcW w:w="803" w:type="dxa"/>
            <w:vAlign w:val="center"/>
          </w:tcPr>
          <w:p w14:paraId="452322A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324</w:t>
            </w:r>
          </w:p>
        </w:tc>
        <w:tc>
          <w:tcPr>
            <w:tcW w:w="5146" w:type="dxa"/>
            <w:vAlign w:val="center"/>
          </w:tcPr>
          <w:p w14:paraId="6FF5DA7A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troškova osobama izvan radnog odnosa</w:t>
            </w:r>
          </w:p>
        </w:tc>
        <w:tc>
          <w:tcPr>
            <w:tcW w:w="1559" w:type="dxa"/>
            <w:vAlign w:val="center"/>
          </w:tcPr>
          <w:p w14:paraId="45CB6ACA" w14:textId="3AFC6CF8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6.016,55</w:t>
            </w:r>
          </w:p>
        </w:tc>
        <w:tc>
          <w:tcPr>
            <w:tcW w:w="1559" w:type="dxa"/>
            <w:vAlign w:val="center"/>
          </w:tcPr>
          <w:p w14:paraId="27CC9396" w14:textId="4A6FDAE2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5.810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6E46B0EA" w14:textId="50508A2F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5.299,40</w:t>
            </w:r>
          </w:p>
        </w:tc>
        <w:tc>
          <w:tcPr>
            <w:tcW w:w="1559" w:type="dxa"/>
            <w:vAlign w:val="center"/>
          </w:tcPr>
          <w:p w14:paraId="28FDEF87" w14:textId="2025A863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88,08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30DAE4E3" w14:textId="2A91D0FE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91,21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346EAB" w:rsidRPr="006A2B0F" w14:paraId="0F11F943" w14:textId="77777777" w:rsidTr="00C15CC1">
        <w:trPr>
          <w:jc w:val="center"/>
        </w:trPr>
        <w:tc>
          <w:tcPr>
            <w:tcW w:w="803" w:type="dxa"/>
            <w:vAlign w:val="center"/>
          </w:tcPr>
          <w:p w14:paraId="7F83EBB0" w14:textId="77777777" w:rsidR="00346EAB" w:rsidRPr="006A2B0F" w:rsidRDefault="00346EAB" w:rsidP="00346E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3241</w:t>
            </w:r>
          </w:p>
        </w:tc>
        <w:tc>
          <w:tcPr>
            <w:tcW w:w="5146" w:type="dxa"/>
            <w:vAlign w:val="center"/>
          </w:tcPr>
          <w:p w14:paraId="02F5CAE8" w14:textId="77777777" w:rsidR="00346EAB" w:rsidRPr="006A2B0F" w:rsidRDefault="00346EAB" w:rsidP="00346E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troškova osobama izvan radnog odnosa</w:t>
            </w:r>
          </w:p>
        </w:tc>
        <w:tc>
          <w:tcPr>
            <w:tcW w:w="1559" w:type="dxa"/>
            <w:vAlign w:val="center"/>
          </w:tcPr>
          <w:p w14:paraId="2A75E573" w14:textId="2FED1482" w:rsidR="00346EAB" w:rsidRPr="006A2B0F" w:rsidRDefault="00346EAB" w:rsidP="00346EA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6.016,55</w:t>
            </w:r>
          </w:p>
        </w:tc>
        <w:tc>
          <w:tcPr>
            <w:tcW w:w="1559" w:type="dxa"/>
            <w:vAlign w:val="center"/>
          </w:tcPr>
          <w:p w14:paraId="07F024FB" w14:textId="56BF7992" w:rsidR="00346EAB" w:rsidRPr="006A2B0F" w:rsidRDefault="00346EAB" w:rsidP="00346EA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5.810,00</w:t>
            </w:r>
          </w:p>
        </w:tc>
        <w:tc>
          <w:tcPr>
            <w:tcW w:w="1560" w:type="dxa"/>
            <w:vAlign w:val="center"/>
          </w:tcPr>
          <w:p w14:paraId="22C75E25" w14:textId="61603663" w:rsidR="00346EAB" w:rsidRPr="006A2B0F" w:rsidRDefault="00346EAB" w:rsidP="00346EA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5.299,40</w:t>
            </w:r>
          </w:p>
        </w:tc>
        <w:tc>
          <w:tcPr>
            <w:tcW w:w="1559" w:type="dxa"/>
            <w:vAlign w:val="center"/>
          </w:tcPr>
          <w:p w14:paraId="55736451" w14:textId="58F28E9B" w:rsidR="00346EAB" w:rsidRPr="006A2B0F" w:rsidRDefault="00346EAB" w:rsidP="00346EA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88,08%</w:t>
            </w:r>
          </w:p>
        </w:tc>
        <w:tc>
          <w:tcPr>
            <w:tcW w:w="1559" w:type="dxa"/>
            <w:vAlign w:val="center"/>
          </w:tcPr>
          <w:p w14:paraId="46DC5E14" w14:textId="3121DACD" w:rsidR="00346EAB" w:rsidRPr="006A2B0F" w:rsidRDefault="00346EAB" w:rsidP="00346EA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91,21%</w:t>
            </w:r>
          </w:p>
        </w:tc>
      </w:tr>
      <w:tr w:rsidR="00803102" w:rsidRPr="006A2B0F" w14:paraId="20AFF82D" w14:textId="77777777" w:rsidTr="00C15CC1">
        <w:trPr>
          <w:jc w:val="center"/>
        </w:trPr>
        <w:tc>
          <w:tcPr>
            <w:tcW w:w="803" w:type="dxa"/>
            <w:vAlign w:val="center"/>
          </w:tcPr>
          <w:p w14:paraId="3F944A9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</w:t>
            </w:r>
          </w:p>
        </w:tc>
        <w:tc>
          <w:tcPr>
            <w:tcW w:w="5146" w:type="dxa"/>
            <w:vAlign w:val="center"/>
          </w:tcPr>
          <w:p w14:paraId="36FD849A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nespomenuti rashodi poslovanja</w:t>
            </w:r>
          </w:p>
        </w:tc>
        <w:tc>
          <w:tcPr>
            <w:tcW w:w="1559" w:type="dxa"/>
            <w:vAlign w:val="center"/>
          </w:tcPr>
          <w:p w14:paraId="36D4DF50" w14:textId="702964FA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11.645,90</w:t>
            </w:r>
          </w:p>
        </w:tc>
        <w:tc>
          <w:tcPr>
            <w:tcW w:w="1559" w:type="dxa"/>
            <w:vAlign w:val="center"/>
          </w:tcPr>
          <w:p w14:paraId="1F87D1F6" w14:textId="2675E24E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29.642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88E924D" w14:textId="7535B4AC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21.504,28</w:t>
            </w:r>
          </w:p>
        </w:tc>
        <w:tc>
          <w:tcPr>
            <w:tcW w:w="1559" w:type="dxa"/>
            <w:vAlign w:val="center"/>
          </w:tcPr>
          <w:p w14:paraId="508F55D5" w14:textId="2093AE08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184,65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25DCBF9F" w14:textId="36C1B3D0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72,55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D4631EB" w14:textId="77777777" w:rsidTr="00C15CC1">
        <w:trPr>
          <w:jc w:val="center"/>
        </w:trPr>
        <w:tc>
          <w:tcPr>
            <w:tcW w:w="803" w:type="dxa"/>
            <w:vAlign w:val="center"/>
          </w:tcPr>
          <w:p w14:paraId="19D09FC8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3291</w:t>
            </w:r>
          </w:p>
        </w:tc>
        <w:tc>
          <w:tcPr>
            <w:tcW w:w="5146" w:type="dxa"/>
            <w:vAlign w:val="center"/>
          </w:tcPr>
          <w:p w14:paraId="738E6F6E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za rad predstavničkih i izvršnih tijela, povjerenstava i slično</w:t>
            </w:r>
          </w:p>
        </w:tc>
        <w:tc>
          <w:tcPr>
            <w:tcW w:w="1559" w:type="dxa"/>
            <w:vAlign w:val="center"/>
          </w:tcPr>
          <w:p w14:paraId="3A55BC82" w14:textId="5A0458AA" w:rsidR="00803102" w:rsidRPr="006A2B0F" w:rsidRDefault="00346EA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2.700,63</w:t>
            </w:r>
          </w:p>
        </w:tc>
        <w:tc>
          <w:tcPr>
            <w:tcW w:w="1559" w:type="dxa"/>
            <w:vAlign w:val="center"/>
          </w:tcPr>
          <w:p w14:paraId="062D9049" w14:textId="68BAA4E8" w:rsidR="00803102" w:rsidRPr="006A2B0F" w:rsidRDefault="007E4BBC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3.620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D04F7D2" w14:textId="2CA999C4" w:rsidR="00803102" w:rsidRPr="006A2B0F" w:rsidRDefault="007E4BBC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3.227,87</w:t>
            </w:r>
          </w:p>
        </w:tc>
        <w:tc>
          <w:tcPr>
            <w:tcW w:w="1559" w:type="dxa"/>
            <w:vAlign w:val="center"/>
          </w:tcPr>
          <w:p w14:paraId="62A3E8B6" w14:textId="2860D3D3" w:rsidR="00803102" w:rsidRPr="006A2B0F" w:rsidRDefault="007E4BBC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119,52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5237B83" w14:textId="58BB9289" w:rsidR="00803102" w:rsidRPr="006A2B0F" w:rsidRDefault="007E4BBC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89,17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7AC6790" w14:textId="77777777" w:rsidTr="00C15CC1">
        <w:trPr>
          <w:jc w:val="center"/>
        </w:trPr>
        <w:tc>
          <w:tcPr>
            <w:tcW w:w="803" w:type="dxa"/>
            <w:vAlign w:val="center"/>
          </w:tcPr>
          <w:p w14:paraId="08F602B4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3292</w:t>
            </w:r>
          </w:p>
        </w:tc>
        <w:tc>
          <w:tcPr>
            <w:tcW w:w="5146" w:type="dxa"/>
            <w:vAlign w:val="center"/>
          </w:tcPr>
          <w:p w14:paraId="60D27075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Premije osiguranja</w:t>
            </w:r>
          </w:p>
        </w:tc>
        <w:tc>
          <w:tcPr>
            <w:tcW w:w="1559" w:type="dxa"/>
            <w:vAlign w:val="center"/>
          </w:tcPr>
          <w:p w14:paraId="043113C5" w14:textId="5754EBE5" w:rsidR="00803102" w:rsidRPr="006A2B0F" w:rsidRDefault="000D3AD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2.594,52</w:t>
            </w:r>
          </w:p>
        </w:tc>
        <w:tc>
          <w:tcPr>
            <w:tcW w:w="1559" w:type="dxa"/>
            <w:vAlign w:val="center"/>
          </w:tcPr>
          <w:p w14:paraId="69D0292E" w14:textId="08B8FDAE" w:rsidR="00803102" w:rsidRPr="006A2B0F" w:rsidRDefault="000D3AD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3.042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71C8C7E3" w14:textId="6CA166A8" w:rsidR="00803102" w:rsidRPr="006A2B0F" w:rsidRDefault="000D3AD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2.809,29</w:t>
            </w:r>
          </w:p>
        </w:tc>
        <w:tc>
          <w:tcPr>
            <w:tcW w:w="1559" w:type="dxa"/>
            <w:vAlign w:val="center"/>
          </w:tcPr>
          <w:p w14:paraId="3EA94B2C" w14:textId="2DA50BAC" w:rsidR="00803102" w:rsidRPr="006A2B0F" w:rsidRDefault="000D3AD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108,28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FB5ACA0" w14:textId="6A869AEC" w:rsidR="00803102" w:rsidRPr="006A2B0F" w:rsidRDefault="000D3ADB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92,35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56435314" w14:textId="77777777" w:rsidTr="00C15CC1">
        <w:trPr>
          <w:jc w:val="center"/>
        </w:trPr>
        <w:tc>
          <w:tcPr>
            <w:tcW w:w="803" w:type="dxa"/>
            <w:vAlign w:val="center"/>
          </w:tcPr>
          <w:p w14:paraId="2C0DFFD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3293</w:t>
            </w:r>
          </w:p>
        </w:tc>
        <w:tc>
          <w:tcPr>
            <w:tcW w:w="5146" w:type="dxa"/>
            <w:vAlign w:val="center"/>
          </w:tcPr>
          <w:p w14:paraId="301BBC2F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Reprezentacija</w:t>
            </w:r>
          </w:p>
        </w:tc>
        <w:tc>
          <w:tcPr>
            <w:tcW w:w="1559" w:type="dxa"/>
            <w:vAlign w:val="center"/>
          </w:tcPr>
          <w:p w14:paraId="330F26F3" w14:textId="797C97BF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5.809,43</w:t>
            </w:r>
          </w:p>
        </w:tc>
        <w:tc>
          <w:tcPr>
            <w:tcW w:w="1559" w:type="dxa"/>
            <w:vAlign w:val="center"/>
          </w:tcPr>
          <w:p w14:paraId="675603E1" w14:textId="095E7910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20.810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69DFB324" w14:textId="5D322FD7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13.564,41</w:t>
            </w:r>
          </w:p>
        </w:tc>
        <w:tc>
          <w:tcPr>
            <w:tcW w:w="1559" w:type="dxa"/>
            <w:vAlign w:val="center"/>
          </w:tcPr>
          <w:p w14:paraId="45E85534" w14:textId="2B5EC980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233,49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D197FA8" w14:textId="082DCC26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65,18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26143CF" w14:textId="77777777" w:rsidTr="00C15CC1">
        <w:trPr>
          <w:jc w:val="center"/>
        </w:trPr>
        <w:tc>
          <w:tcPr>
            <w:tcW w:w="803" w:type="dxa"/>
            <w:vAlign w:val="center"/>
          </w:tcPr>
          <w:p w14:paraId="6FD71AA0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3295</w:t>
            </w:r>
          </w:p>
        </w:tc>
        <w:tc>
          <w:tcPr>
            <w:tcW w:w="5146" w:type="dxa"/>
            <w:vAlign w:val="center"/>
          </w:tcPr>
          <w:p w14:paraId="2A256FB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Pristojbe i naknade</w:t>
            </w:r>
          </w:p>
        </w:tc>
        <w:tc>
          <w:tcPr>
            <w:tcW w:w="1559" w:type="dxa"/>
            <w:vAlign w:val="center"/>
          </w:tcPr>
          <w:p w14:paraId="793AFE5D" w14:textId="2819BC2F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73D3BE8" w14:textId="0053F48A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1.540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3301284" w14:textId="43EB5E7F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1.384,43</w:t>
            </w:r>
          </w:p>
        </w:tc>
        <w:tc>
          <w:tcPr>
            <w:tcW w:w="1559" w:type="dxa"/>
            <w:vAlign w:val="center"/>
          </w:tcPr>
          <w:p w14:paraId="5643269F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692D8557" w14:textId="0D07BEBB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89,90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D72F4AE" w14:textId="77777777" w:rsidTr="00C15CC1">
        <w:trPr>
          <w:jc w:val="center"/>
        </w:trPr>
        <w:tc>
          <w:tcPr>
            <w:tcW w:w="803" w:type="dxa"/>
            <w:vAlign w:val="center"/>
          </w:tcPr>
          <w:p w14:paraId="38731093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3299</w:t>
            </w:r>
          </w:p>
        </w:tc>
        <w:tc>
          <w:tcPr>
            <w:tcW w:w="5146" w:type="dxa"/>
            <w:vAlign w:val="center"/>
          </w:tcPr>
          <w:p w14:paraId="314FAFF8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nespomenuti rashodi poslovanja</w:t>
            </w:r>
          </w:p>
        </w:tc>
        <w:tc>
          <w:tcPr>
            <w:tcW w:w="1559" w:type="dxa"/>
            <w:vAlign w:val="center"/>
          </w:tcPr>
          <w:p w14:paraId="591E8B65" w14:textId="6A5B2B14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541,32</w:t>
            </w:r>
          </w:p>
        </w:tc>
        <w:tc>
          <w:tcPr>
            <w:tcW w:w="1559" w:type="dxa"/>
            <w:vAlign w:val="center"/>
          </w:tcPr>
          <w:p w14:paraId="03D6746B" w14:textId="408ADF97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630,00</w:t>
            </w:r>
          </w:p>
        </w:tc>
        <w:tc>
          <w:tcPr>
            <w:tcW w:w="1560" w:type="dxa"/>
            <w:vAlign w:val="center"/>
          </w:tcPr>
          <w:p w14:paraId="553CCE5D" w14:textId="45F1C444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518,28</w:t>
            </w:r>
          </w:p>
        </w:tc>
        <w:tc>
          <w:tcPr>
            <w:tcW w:w="1559" w:type="dxa"/>
            <w:vAlign w:val="center"/>
          </w:tcPr>
          <w:p w14:paraId="18C5A70B" w14:textId="78C6E537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95,74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1A621FE" w14:textId="10D2E97B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82,27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B78D642" w14:textId="77777777" w:rsidTr="00C15CC1">
        <w:trPr>
          <w:jc w:val="center"/>
        </w:trPr>
        <w:tc>
          <w:tcPr>
            <w:tcW w:w="803" w:type="dxa"/>
            <w:vAlign w:val="center"/>
          </w:tcPr>
          <w:p w14:paraId="3189B2B6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5146" w:type="dxa"/>
            <w:vAlign w:val="center"/>
          </w:tcPr>
          <w:p w14:paraId="0A99CE3C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49897D4F" w14:textId="73EA5F85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15.648,56</w:t>
            </w:r>
          </w:p>
        </w:tc>
        <w:tc>
          <w:tcPr>
            <w:tcW w:w="1559" w:type="dxa"/>
            <w:vAlign w:val="center"/>
          </w:tcPr>
          <w:p w14:paraId="3A990B4D" w14:textId="1AD46C5E" w:rsidR="00803102" w:rsidRPr="006A2B0F" w:rsidRDefault="005E7926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18.930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C536D61" w14:textId="26F1E497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13.482,70</w:t>
            </w:r>
          </w:p>
        </w:tc>
        <w:tc>
          <w:tcPr>
            <w:tcW w:w="1559" w:type="dxa"/>
            <w:vAlign w:val="center"/>
          </w:tcPr>
          <w:p w14:paraId="4797E500" w14:textId="55C5E16A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86,16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293904C6" w14:textId="526EA206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71,22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4C59954C" w14:textId="77777777" w:rsidTr="00C15CC1">
        <w:trPr>
          <w:jc w:val="center"/>
        </w:trPr>
        <w:tc>
          <w:tcPr>
            <w:tcW w:w="803" w:type="dxa"/>
            <w:vAlign w:val="center"/>
          </w:tcPr>
          <w:p w14:paraId="35C0498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41</w:t>
            </w:r>
          </w:p>
        </w:tc>
        <w:tc>
          <w:tcPr>
            <w:tcW w:w="5146" w:type="dxa"/>
            <w:vAlign w:val="center"/>
          </w:tcPr>
          <w:p w14:paraId="2CD20960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za nabavu neproizvedene dugotrajne imovine</w:t>
            </w:r>
          </w:p>
        </w:tc>
        <w:tc>
          <w:tcPr>
            <w:tcW w:w="1559" w:type="dxa"/>
            <w:vAlign w:val="center"/>
          </w:tcPr>
          <w:p w14:paraId="10BE8457" w14:textId="2D02BBDB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1.054,15</w:t>
            </w:r>
          </w:p>
        </w:tc>
        <w:tc>
          <w:tcPr>
            <w:tcW w:w="1559" w:type="dxa"/>
            <w:vAlign w:val="center"/>
          </w:tcPr>
          <w:p w14:paraId="77E7B69F" w14:textId="487A397B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1.330,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00</w:t>
            </w:r>
          </w:p>
        </w:tc>
        <w:tc>
          <w:tcPr>
            <w:tcW w:w="1560" w:type="dxa"/>
            <w:vAlign w:val="center"/>
          </w:tcPr>
          <w:p w14:paraId="0F55FABC" w14:textId="2534E379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1.045,75</w:t>
            </w:r>
          </w:p>
        </w:tc>
        <w:tc>
          <w:tcPr>
            <w:tcW w:w="1559" w:type="dxa"/>
            <w:vAlign w:val="center"/>
          </w:tcPr>
          <w:p w14:paraId="7080B345" w14:textId="3422AD96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99,20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46A4805" w14:textId="6F95389F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78,63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746AAD" w:rsidRPr="006A2B0F" w14:paraId="0277E6C5" w14:textId="77777777" w:rsidTr="00C15CC1">
        <w:trPr>
          <w:jc w:val="center"/>
        </w:trPr>
        <w:tc>
          <w:tcPr>
            <w:tcW w:w="803" w:type="dxa"/>
            <w:vAlign w:val="center"/>
          </w:tcPr>
          <w:p w14:paraId="23C16844" w14:textId="77777777" w:rsidR="00746AAD" w:rsidRPr="006A2B0F" w:rsidRDefault="00746AAD" w:rsidP="00746AA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412</w:t>
            </w:r>
          </w:p>
        </w:tc>
        <w:tc>
          <w:tcPr>
            <w:tcW w:w="5146" w:type="dxa"/>
            <w:vAlign w:val="center"/>
          </w:tcPr>
          <w:p w14:paraId="4DC9C282" w14:textId="77777777" w:rsidR="00746AAD" w:rsidRPr="006A2B0F" w:rsidRDefault="00746AAD" w:rsidP="00746AA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Nematerijalna imovina</w:t>
            </w:r>
          </w:p>
        </w:tc>
        <w:tc>
          <w:tcPr>
            <w:tcW w:w="1559" w:type="dxa"/>
            <w:vAlign w:val="center"/>
          </w:tcPr>
          <w:p w14:paraId="5037CBD8" w14:textId="2FF8501E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1.054,15</w:t>
            </w:r>
          </w:p>
        </w:tc>
        <w:tc>
          <w:tcPr>
            <w:tcW w:w="1559" w:type="dxa"/>
            <w:vAlign w:val="center"/>
          </w:tcPr>
          <w:p w14:paraId="0793F66A" w14:textId="2C8ABA81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1.330,00</w:t>
            </w:r>
          </w:p>
        </w:tc>
        <w:tc>
          <w:tcPr>
            <w:tcW w:w="1560" w:type="dxa"/>
            <w:vAlign w:val="center"/>
          </w:tcPr>
          <w:p w14:paraId="5260E4EC" w14:textId="631C16E7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1.045,75</w:t>
            </w:r>
          </w:p>
        </w:tc>
        <w:tc>
          <w:tcPr>
            <w:tcW w:w="1559" w:type="dxa"/>
            <w:vAlign w:val="center"/>
          </w:tcPr>
          <w:p w14:paraId="6A3B1636" w14:textId="00B06A62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99,20%</w:t>
            </w:r>
          </w:p>
        </w:tc>
        <w:tc>
          <w:tcPr>
            <w:tcW w:w="1559" w:type="dxa"/>
            <w:vAlign w:val="center"/>
          </w:tcPr>
          <w:p w14:paraId="77D005B5" w14:textId="620CF25C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78,63%</w:t>
            </w:r>
          </w:p>
        </w:tc>
      </w:tr>
      <w:tr w:rsidR="00746AAD" w:rsidRPr="006A2B0F" w14:paraId="27D9AEFC" w14:textId="77777777" w:rsidTr="00C15CC1">
        <w:trPr>
          <w:jc w:val="center"/>
        </w:trPr>
        <w:tc>
          <w:tcPr>
            <w:tcW w:w="803" w:type="dxa"/>
            <w:vAlign w:val="center"/>
          </w:tcPr>
          <w:p w14:paraId="4CDCCA57" w14:textId="77777777" w:rsidR="00746AAD" w:rsidRPr="006A2B0F" w:rsidRDefault="00746AAD" w:rsidP="00746AA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4123</w:t>
            </w:r>
          </w:p>
        </w:tc>
        <w:tc>
          <w:tcPr>
            <w:tcW w:w="5146" w:type="dxa"/>
            <w:vAlign w:val="center"/>
          </w:tcPr>
          <w:p w14:paraId="4D4B3CFB" w14:textId="77777777" w:rsidR="00746AAD" w:rsidRPr="006A2B0F" w:rsidRDefault="00746AAD" w:rsidP="00746AA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Licence</w:t>
            </w:r>
          </w:p>
        </w:tc>
        <w:tc>
          <w:tcPr>
            <w:tcW w:w="1559" w:type="dxa"/>
            <w:vAlign w:val="center"/>
          </w:tcPr>
          <w:p w14:paraId="5A6F3DB4" w14:textId="0623C75B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1.054,15</w:t>
            </w:r>
          </w:p>
        </w:tc>
        <w:tc>
          <w:tcPr>
            <w:tcW w:w="1559" w:type="dxa"/>
            <w:vAlign w:val="center"/>
          </w:tcPr>
          <w:p w14:paraId="789EF808" w14:textId="0FCF6996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1.330,00</w:t>
            </w:r>
          </w:p>
        </w:tc>
        <w:tc>
          <w:tcPr>
            <w:tcW w:w="1560" w:type="dxa"/>
            <w:vAlign w:val="center"/>
          </w:tcPr>
          <w:p w14:paraId="059E3C5A" w14:textId="105F0D45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1.045,75</w:t>
            </w:r>
          </w:p>
        </w:tc>
        <w:tc>
          <w:tcPr>
            <w:tcW w:w="1559" w:type="dxa"/>
            <w:vAlign w:val="center"/>
          </w:tcPr>
          <w:p w14:paraId="227DFC79" w14:textId="19786EB0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99,20%</w:t>
            </w:r>
          </w:p>
        </w:tc>
        <w:tc>
          <w:tcPr>
            <w:tcW w:w="1559" w:type="dxa"/>
            <w:vAlign w:val="center"/>
          </w:tcPr>
          <w:p w14:paraId="564B7523" w14:textId="3FA5BC06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78,63%</w:t>
            </w:r>
          </w:p>
        </w:tc>
      </w:tr>
      <w:tr w:rsidR="00803102" w:rsidRPr="006A2B0F" w14:paraId="639AE0E8" w14:textId="77777777" w:rsidTr="00C15CC1">
        <w:trPr>
          <w:jc w:val="center"/>
        </w:trPr>
        <w:tc>
          <w:tcPr>
            <w:tcW w:w="803" w:type="dxa"/>
            <w:vAlign w:val="center"/>
          </w:tcPr>
          <w:p w14:paraId="651AC945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42</w:t>
            </w:r>
          </w:p>
        </w:tc>
        <w:tc>
          <w:tcPr>
            <w:tcW w:w="5146" w:type="dxa"/>
            <w:vAlign w:val="center"/>
          </w:tcPr>
          <w:p w14:paraId="4FA84018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1559" w:type="dxa"/>
            <w:vAlign w:val="center"/>
          </w:tcPr>
          <w:p w14:paraId="04AFC55E" w14:textId="304113FE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14.594,41</w:t>
            </w:r>
          </w:p>
        </w:tc>
        <w:tc>
          <w:tcPr>
            <w:tcW w:w="1559" w:type="dxa"/>
            <w:vAlign w:val="center"/>
          </w:tcPr>
          <w:p w14:paraId="66336929" w14:textId="1CFC8BA1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17.600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5D5624B5" w14:textId="29634A05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12.436,95</w:t>
            </w:r>
          </w:p>
        </w:tc>
        <w:tc>
          <w:tcPr>
            <w:tcW w:w="1559" w:type="dxa"/>
            <w:vAlign w:val="center"/>
          </w:tcPr>
          <w:p w14:paraId="4CCB1349" w14:textId="7ED7E7B7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85,22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25AFC810" w14:textId="14F3EA96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70,66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746AAD" w:rsidRPr="006A2B0F" w14:paraId="775192A5" w14:textId="77777777" w:rsidTr="00C15CC1">
        <w:trPr>
          <w:jc w:val="center"/>
        </w:trPr>
        <w:tc>
          <w:tcPr>
            <w:tcW w:w="803" w:type="dxa"/>
            <w:vAlign w:val="center"/>
          </w:tcPr>
          <w:p w14:paraId="47B30EFB" w14:textId="77777777" w:rsidR="00746AAD" w:rsidRPr="006A2B0F" w:rsidRDefault="00746AAD" w:rsidP="00746AA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</w:t>
            </w:r>
          </w:p>
        </w:tc>
        <w:tc>
          <w:tcPr>
            <w:tcW w:w="5146" w:type="dxa"/>
            <w:vAlign w:val="center"/>
          </w:tcPr>
          <w:p w14:paraId="3B527FD6" w14:textId="77777777" w:rsidR="00746AAD" w:rsidRPr="006A2B0F" w:rsidRDefault="00746AAD" w:rsidP="00746AA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Postrojenja i oprema</w:t>
            </w:r>
          </w:p>
        </w:tc>
        <w:tc>
          <w:tcPr>
            <w:tcW w:w="1559" w:type="dxa"/>
            <w:vAlign w:val="center"/>
          </w:tcPr>
          <w:p w14:paraId="66FF079C" w14:textId="5E336EEA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14.594,41</w:t>
            </w:r>
          </w:p>
        </w:tc>
        <w:tc>
          <w:tcPr>
            <w:tcW w:w="1559" w:type="dxa"/>
            <w:vAlign w:val="center"/>
          </w:tcPr>
          <w:p w14:paraId="60D3E7D4" w14:textId="1D91A0D6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17.600,00</w:t>
            </w:r>
          </w:p>
        </w:tc>
        <w:tc>
          <w:tcPr>
            <w:tcW w:w="1560" w:type="dxa"/>
            <w:vAlign w:val="center"/>
          </w:tcPr>
          <w:p w14:paraId="3C718908" w14:textId="3C690BDC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12.436,95</w:t>
            </w:r>
          </w:p>
        </w:tc>
        <w:tc>
          <w:tcPr>
            <w:tcW w:w="1559" w:type="dxa"/>
            <w:vAlign w:val="center"/>
          </w:tcPr>
          <w:p w14:paraId="6AA2C9A7" w14:textId="75264046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85,22%</w:t>
            </w:r>
          </w:p>
        </w:tc>
        <w:tc>
          <w:tcPr>
            <w:tcW w:w="1559" w:type="dxa"/>
            <w:vAlign w:val="center"/>
          </w:tcPr>
          <w:p w14:paraId="021EEC08" w14:textId="63CF2C46" w:rsidR="00746AAD" w:rsidRPr="006A2B0F" w:rsidRDefault="00746AAD" w:rsidP="00746AA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70,66%</w:t>
            </w:r>
          </w:p>
        </w:tc>
      </w:tr>
      <w:tr w:rsidR="00803102" w:rsidRPr="006A2B0F" w14:paraId="44394216" w14:textId="77777777" w:rsidTr="00C15CC1">
        <w:trPr>
          <w:jc w:val="center"/>
        </w:trPr>
        <w:tc>
          <w:tcPr>
            <w:tcW w:w="803" w:type="dxa"/>
            <w:vAlign w:val="center"/>
          </w:tcPr>
          <w:p w14:paraId="0F73B670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4221</w:t>
            </w:r>
          </w:p>
        </w:tc>
        <w:tc>
          <w:tcPr>
            <w:tcW w:w="5146" w:type="dxa"/>
            <w:vAlign w:val="center"/>
          </w:tcPr>
          <w:p w14:paraId="652A9FD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559" w:type="dxa"/>
            <w:vAlign w:val="center"/>
          </w:tcPr>
          <w:p w14:paraId="2F43851A" w14:textId="018398B9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11.064,94</w:t>
            </w:r>
          </w:p>
        </w:tc>
        <w:tc>
          <w:tcPr>
            <w:tcW w:w="1559" w:type="dxa"/>
            <w:vAlign w:val="center"/>
          </w:tcPr>
          <w:p w14:paraId="4C56098A" w14:textId="3BF2AD88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17.600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BB8DDD5" w14:textId="71208578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12.436,95</w:t>
            </w:r>
          </w:p>
        </w:tc>
        <w:tc>
          <w:tcPr>
            <w:tcW w:w="1559" w:type="dxa"/>
            <w:vAlign w:val="center"/>
          </w:tcPr>
          <w:p w14:paraId="1E230108" w14:textId="71D05D75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112,40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3FEB62C7" w14:textId="33A4DA7D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70,66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57616E1" w14:textId="77777777" w:rsidTr="00C15CC1">
        <w:trPr>
          <w:jc w:val="center"/>
        </w:trPr>
        <w:tc>
          <w:tcPr>
            <w:tcW w:w="803" w:type="dxa"/>
            <w:vAlign w:val="center"/>
          </w:tcPr>
          <w:p w14:paraId="63A91F0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4222</w:t>
            </w:r>
          </w:p>
        </w:tc>
        <w:tc>
          <w:tcPr>
            <w:tcW w:w="5146" w:type="dxa"/>
            <w:vAlign w:val="center"/>
          </w:tcPr>
          <w:p w14:paraId="6A17617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Komunikacijska oprema</w:t>
            </w:r>
          </w:p>
        </w:tc>
        <w:tc>
          <w:tcPr>
            <w:tcW w:w="1559" w:type="dxa"/>
            <w:vAlign w:val="center"/>
          </w:tcPr>
          <w:p w14:paraId="1E033F51" w14:textId="4D16DE5F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2.653,63</w:t>
            </w:r>
          </w:p>
        </w:tc>
        <w:tc>
          <w:tcPr>
            <w:tcW w:w="1559" w:type="dxa"/>
            <w:vAlign w:val="center"/>
          </w:tcPr>
          <w:p w14:paraId="7DA0D087" w14:textId="3A07CA39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D6CBD89" w14:textId="74BE5A77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FAFF939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4CF8F259" w14:textId="0955BD1E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D47AEC7" w14:textId="77777777" w:rsidTr="00C15CC1">
        <w:trPr>
          <w:jc w:val="center"/>
        </w:trPr>
        <w:tc>
          <w:tcPr>
            <w:tcW w:w="803" w:type="dxa"/>
            <w:vAlign w:val="center"/>
          </w:tcPr>
          <w:p w14:paraId="1E58615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4227</w:t>
            </w:r>
          </w:p>
        </w:tc>
        <w:tc>
          <w:tcPr>
            <w:tcW w:w="5146" w:type="dxa"/>
            <w:vAlign w:val="center"/>
          </w:tcPr>
          <w:p w14:paraId="3F9B623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Uređaji, strojevi i oprema za ostale namjene</w:t>
            </w:r>
          </w:p>
        </w:tc>
        <w:tc>
          <w:tcPr>
            <w:tcW w:w="1559" w:type="dxa"/>
            <w:vAlign w:val="center"/>
          </w:tcPr>
          <w:p w14:paraId="4714558A" w14:textId="6A47FADC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875,84</w:t>
            </w:r>
          </w:p>
        </w:tc>
        <w:tc>
          <w:tcPr>
            <w:tcW w:w="1559" w:type="dxa"/>
            <w:vAlign w:val="center"/>
          </w:tcPr>
          <w:p w14:paraId="72225C62" w14:textId="2FB9227E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2B3EFFDB" w14:textId="45A16B56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2AEA4FE6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7A07EE23" w14:textId="6B34C1D8" w:rsidR="00803102" w:rsidRPr="006A2B0F" w:rsidRDefault="00746AAD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</w:tbl>
    <w:p w14:paraId="6208B7B9" w14:textId="20E389C9" w:rsidR="00803102" w:rsidRPr="006A2B0F" w:rsidRDefault="00677182" w:rsidP="0011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O</w:t>
      </w:r>
      <w:r w:rsidR="00803102" w:rsidRPr="006A2B0F">
        <w:rPr>
          <w:rFonts w:ascii="Times New Roman" w:hAnsi="Times New Roman" w:cs="Times New Roman"/>
          <w:sz w:val="24"/>
          <w:szCs w:val="24"/>
        </w:rPr>
        <w:t>pći dio proračuna</w:t>
      </w:r>
    </w:p>
    <w:p w14:paraId="037D0D3A" w14:textId="77777777" w:rsidR="00803102" w:rsidRPr="006A2B0F" w:rsidRDefault="0080310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11574" w14:textId="77777777" w:rsidR="00803102" w:rsidRPr="00D03252" w:rsidRDefault="00803102" w:rsidP="008031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lastRenderedPageBreak/>
        <w:t>Tablica 3. Prihodi prema izvorima financiranja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6A2B0F" w14:paraId="514E06FF" w14:textId="77777777" w:rsidTr="00C15CC1">
        <w:tc>
          <w:tcPr>
            <w:tcW w:w="803" w:type="dxa"/>
            <w:shd w:val="clear" w:color="auto" w:fill="EDEDED" w:themeFill="accent3" w:themeFillTint="33"/>
            <w:vAlign w:val="center"/>
          </w:tcPr>
          <w:p w14:paraId="6050E37F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EDEDED" w:themeFill="accent3" w:themeFillTint="33"/>
            <w:vAlign w:val="center"/>
          </w:tcPr>
          <w:p w14:paraId="1A346FC2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izvora financiranja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68B0192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4816E3AA" w14:textId="77777777" w:rsidR="00A65813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</w:t>
            </w:r>
            <w:r w:rsidR="00A6581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/</w:t>
            </w:r>
          </w:p>
          <w:p w14:paraId="46C2B9ED" w14:textId="73CAD9EA" w:rsidR="00803102" w:rsidRPr="006A2B0F" w:rsidRDefault="00A65813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tekući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plan za proračunsku godinu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763862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001D48F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5DC1079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6A2B0F" w14:paraId="70929DB8" w14:textId="77777777" w:rsidTr="00C15CC1">
        <w:tc>
          <w:tcPr>
            <w:tcW w:w="803" w:type="dxa"/>
            <w:vAlign w:val="center"/>
          </w:tcPr>
          <w:p w14:paraId="396F533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7ED8DC2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6083406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26498C4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6E982F4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5F599CD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0BE1CD6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6A2B0F" w14:paraId="768595EC" w14:textId="77777777" w:rsidTr="00C15CC1">
        <w:trPr>
          <w:trHeight w:val="394"/>
        </w:trPr>
        <w:tc>
          <w:tcPr>
            <w:tcW w:w="803" w:type="dxa"/>
            <w:vAlign w:val="center"/>
          </w:tcPr>
          <w:p w14:paraId="43B994D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vAlign w:val="center"/>
          </w:tcPr>
          <w:p w14:paraId="41905686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</w:t>
            </w:r>
          </w:p>
        </w:tc>
        <w:tc>
          <w:tcPr>
            <w:tcW w:w="1559" w:type="dxa"/>
            <w:vAlign w:val="center"/>
          </w:tcPr>
          <w:p w14:paraId="595418A9" w14:textId="71810433" w:rsidR="00803102" w:rsidRPr="006A2B0F" w:rsidRDefault="00201BF2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639.666,03</w:t>
            </w:r>
          </w:p>
        </w:tc>
        <w:tc>
          <w:tcPr>
            <w:tcW w:w="1559" w:type="dxa"/>
            <w:vAlign w:val="center"/>
          </w:tcPr>
          <w:p w14:paraId="0A42FE43" w14:textId="38BEE2BB" w:rsidR="00803102" w:rsidRPr="006A2B0F" w:rsidRDefault="00FD5826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901.296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47211546" w14:textId="0CB29C03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719.312,84</w:t>
            </w:r>
          </w:p>
        </w:tc>
        <w:tc>
          <w:tcPr>
            <w:tcW w:w="1559" w:type="dxa"/>
            <w:vAlign w:val="center"/>
          </w:tcPr>
          <w:p w14:paraId="5B39FC77" w14:textId="7B317FAD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112,45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5A97397F" w14:textId="15E02C83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79,81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6C45F9CA" w14:textId="77777777" w:rsidTr="00C15CC1">
        <w:tc>
          <w:tcPr>
            <w:tcW w:w="803" w:type="dxa"/>
            <w:vAlign w:val="center"/>
          </w:tcPr>
          <w:p w14:paraId="7DD5884D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3DADEB3" w14:textId="77777777" w:rsidR="00803102" w:rsidRPr="006A2B0F" w:rsidRDefault="00803102" w:rsidP="00C15C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 OPĆI PRIHODI I PRIMICI</w:t>
            </w:r>
          </w:p>
        </w:tc>
        <w:tc>
          <w:tcPr>
            <w:tcW w:w="1559" w:type="dxa"/>
            <w:vAlign w:val="center"/>
          </w:tcPr>
          <w:p w14:paraId="7E9E1BB7" w14:textId="0C69895B" w:rsidR="00803102" w:rsidRPr="006A2B0F" w:rsidRDefault="00FD5826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207.288,74</w:t>
            </w:r>
          </w:p>
        </w:tc>
        <w:tc>
          <w:tcPr>
            <w:tcW w:w="1559" w:type="dxa"/>
            <w:vAlign w:val="center"/>
          </w:tcPr>
          <w:p w14:paraId="129A3F82" w14:textId="7752AB92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347.865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428313CD" w14:textId="00670CCD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295.662,90</w:t>
            </w:r>
          </w:p>
        </w:tc>
        <w:tc>
          <w:tcPr>
            <w:tcW w:w="1559" w:type="dxa"/>
            <w:vAlign w:val="center"/>
          </w:tcPr>
          <w:p w14:paraId="399B7471" w14:textId="46D18306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142,63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BCEEC25" w14:textId="0631C16E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84,99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501D0346" w14:textId="77777777" w:rsidTr="00C15CC1">
        <w:tc>
          <w:tcPr>
            <w:tcW w:w="803" w:type="dxa"/>
            <w:vAlign w:val="center"/>
          </w:tcPr>
          <w:p w14:paraId="538CBCFB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593ADA1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 Prihodi od poreza za redovnu djelatnost</w:t>
            </w:r>
          </w:p>
        </w:tc>
        <w:tc>
          <w:tcPr>
            <w:tcW w:w="1559" w:type="dxa"/>
            <w:vAlign w:val="center"/>
          </w:tcPr>
          <w:p w14:paraId="41CDE705" w14:textId="17793FB9" w:rsidR="00803102" w:rsidRPr="006A2B0F" w:rsidRDefault="00FD58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157.775,77</w:t>
            </w:r>
          </w:p>
        </w:tc>
        <w:tc>
          <w:tcPr>
            <w:tcW w:w="1559" w:type="dxa"/>
            <w:vAlign w:val="center"/>
          </w:tcPr>
          <w:p w14:paraId="132480E9" w14:textId="4E5F2956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288.645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7A72392B" w14:textId="4376C556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238.135,03</w:t>
            </w:r>
          </w:p>
        </w:tc>
        <w:tc>
          <w:tcPr>
            <w:tcW w:w="1559" w:type="dxa"/>
            <w:vAlign w:val="center"/>
          </w:tcPr>
          <w:p w14:paraId="0B080E40" w14:textId="793416A2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150,93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F1768D1" w14:textId="0DBD4E37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82,50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2D01A35" w14:textId="77777777" w:rsidTr="00C15CC1">
        <w:tc>
          <w:tcPr>
            <w:tcW w:w="803" w:type="dxa"/>
            <w:vAlign w:val="center"/>
          </w:tcPr>
          <w:p w14:paraId="04137D1C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Izvor </w:t>
            </w:r>
          </w:p>
        </w:tc>
        <w:tc>
          <w:tcPr>
            <w:tcW w:w="5146" w:type="dxa"/>
            <w:vAlign w:val="center"/>
          </w:tcPr>
          <w:p w14:paraId="7AB34521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1.9. Opći prihodi i primici za predfinanciranje projekata - PK</w:t>
            </w:r>
          </w:p>
        </w:tc>
        <w:tc>
          <w:tcPr>
            <w:tcW w:w="1559" w:type="dxa"/>
            <w:vAlign w:val="center"/>
          </w:tcPr>
          <w:p w14:paraId="4A6FF867" w14:textId="395CCF09" w:rsidR="00803102" w:rsidRPr="006A2B0F" w:rsidRDefault="00FD582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49.512,97</w:t>
            </w:r>
          </w:p>
        </w:tc>
        <w:tc>
          <w:tcPr>
            <w:tcW w:w="1559" w:type="dxa"/>
            <w:vAlign w:val="center"/>
          </w:tcPr>
          <w:p w14:paraId="4499532C" w14:textId="4E83702E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59.220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49188AF6" w14:textId="0E0D0BD5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57.527,87</w:t>
            </w:r>
          </w:p>
        </w:tc>
        <w:tc>
          <w:tcPr>
            <w:tcW w:w="1559" w:type="dxa"/>
            <w:vAlign w:val="center"/>
          </w:tcPr>
          <w:p w14:paraId="4D97E040" w14:textId="17C493DE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116,19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5682CBC5" w14:textId="4ECA487E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97,14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894DF77" w14:textId="77777777" w:rsidTr="00C15CC1">
        <w:tc>
          <w:tcPr>
            <w:tcW w:w="803" w:type="dxa"/>
            <w:vAlign w:val="center"/>
          </w:tcPr>
          <w:p w14:paraId="348A54B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39E00ACE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 VLASTITI PRIHODI</w:t>
            </w:r>
          </w:p>
        </w:tc>
        <w:tc>
          <w:tcPr>
            <w:tcW w:w="1559" w:type="dxa"/>
            <w:vAlign w:val="center"/>
          </w:tcPr>
          <w:p w14:paraId="630B4804" w14:textId="46761792" w:rsidR="00803102" w:rsidRPr="006A2B0F" w:rsidRDefault="00FD5826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0,35</w:t>
            </w:r>
          </w:p>
        </w:tc>
        <w:tc>
          <w:tcPr>
            <w:tcW w:w="1559" w:type="dxa"/>
            <w:vAlign w:val="center"/>
          </w:tcPr>
          <w:p w14:paraId="42D6B0B9" w14:textId="57B6DC5F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93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414678EE" w14:textId="68750F33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0,22</w:t>
            </w:r>
          </w:p>
        </w:tc>
        <w:tc>
          <w:tcPr>
            <w:tcW w:w="1559" w:type="dxa"/>
            <w:vAlign w:val="center"/>
          </w:tcPr>
          <w:p w14:paraId="479A267D" w14:textId="651FE939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62,86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FC3760D" w14:textId="7EF64D6F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0,24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677182" w:rsidRPr="006A2B0F" w14:paraId="3935EF9C" w14:textId="77777777" w:rsidTr="00C15CC1">
        <w:tc>
          <w:tcPr>
            <w:tcW w:w="803" w:type="dxa"/>
            <w:vAlign w:val="center"/>
          </w:tcPr>
          <w:p w14:paraId="524D8CC1" w14:textId="77777777" w:rsidR="00677182" w:rsidRPr="006A2B0F" w:rsidRDefault="00677182" w:rsidP="006771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41DAE9F" w14:textId="77777777" w:rsidR="00677182" w:rsidRPr="006A2B0F" w:rsidRDefault="00677182" w:rsidP="006771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 Vlastiti prihodi – proračunski korisnici</w:t>
            </w:r>
          </w:p>
        </w:tc>
        <w:tc>
          <w:tcPr>
            <w:tcW w:w="1559" w:type="dxa"/>
            <w:vAlign w:val="center"/>
          </w:tcPr>
          <w:p w14:paraId="01C0A976" w14:textId="1825BE23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0,35</w:t>
            </w:r>
          </w:p>
        </w:tc>
        <w:tc>
          <w:tcPr>
            <w:tcW w:w="1559" w:type="dxa"/>
            <w:vAlign w:val="center"/>
          </w:tcPr>
          <w:p w14:paraId="5731C0F9" w14:textId="1D7CA9C0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93,00</w:t>
            </w:r>
          </w:p>
        </w:tc>
        <w:tc>
          <w:tcPr>
            <w:tcW w:w="1560" w:type="dxa"/>
            <w:vAlign w:val="center"/>
          </w:tcPr>
          <w:p w14:paraId="2AC4F7A3" w14:textId="005F4EA3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0,22</w:t>
            </w:r>
          </w:p>
        </w:tc>
        <w:tc>
          <w:tcPr>
            <w:tcW w:w="1559" w:type="dxa"/>
            <w:vAlign w:val="center"/>
          </w:tcPr>
          <w:p w14:paraId="615CF743" w14:textId="2D7B85D4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62,86%</w:t>
            </w:r>
          </w:p>
        </w:tc>
        <w:tc>
          <w:tcPr>
            <w:tcW w:w="1559" w:type="dxa"/>
            <w:vAlign w:val="center"/>
          </w:tcPr>
          <w:p w14:paraId="4686B761" w14:textId="39C786F8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0,24%</w:t>
            </w:r>
          </w:p>
        </w:tc>
      </w:tr>
      <w:tr w:rsidR="00803102" w:rsidRPr="006A2B0F" w14:paraId="422A5BB2" w14:textId="77777777" w:rsidTr="00C15CC1">
        <w:tc>
          <w:tcPr>
            <w:tcW w:w="803" w:type="dxa"/>
            <w:vAlign w:val="center"/>
          </w:tcPr>
          <w:p w14:paraId="653618A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675D78FD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 POMOĆI</w:t>
            </w:r>
          </w:p>
        </w:tc>
        <w:tc>
          <w:tcPr>
            <w:tcW w:w="1559" w:type="dxa"/>
            <w:vAlign w:val="center"/>
          </w:tcPr>
          <w:p w14:paraId="07F78171" w14:textId="5010EEDA" w:rsidR="00803102" w:rsidRPr="006A2B0F" w:rsidRDefault="00FD5826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432.376,9</w:t>
            </w:r>
            <w:r w:rsidR="002217BF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vAlign w:val="center"/>
          </w:tcPr>
          <w:p w14:paraId="3D2D855F" w14:textId="551FD061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552.678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66265A1" w14:textId="478D78F5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423.352,82</w:t>
            </w:r>
          </w:p>
        </w:tc>
        <w:tc>
          <w:tcPr>
            <w:tcW w:w="1559" w:type="dxa"/>
            <w:vAlign w:val="center"/>
          </w:tcPr>
          <w:p w14:paraId="57E19C57" w14:textId="317325F2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97,91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0537A10E" w14:textId="7A4A44CF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76,60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677182" w:rsidRPr="006A2B0F" w14:paraId="662DF58B" w14:textId="77777777" w:rsidTr="00C15CC1">
        <w:tc>
          <w:tcPr>
            <w:tcW w:w="803" w:type="dxa"/>
            <w:vAlign w:val="center"/>
          </w:tcPr>
          <w:p w14:paraId="1FB55C00" w14:textId="77777777" w:rsidR="00677182" w:rsidRPr="006A2B0F" w:rsidRDefault="00677182" w:rsidP="006771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B973BCD" w14:textId="77777777" w:rsidR="00677182" w:rsidRPr="006A2B0F" w:rsidRDefault="00677182" w:rsidP="006771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5.8. Sredstva EU – proračunski korisnici</w:t>
            </w:r>
          </w:p>
        </w:tc>
        <w:tc>
          <w:tcPr>
            <w:tcW w:w="1559" w:type="dxa"/>
            <w:vAlign w:val="center"/>
          </w:tcPr>
          <w:p w14:paraId="43DDEC1B" w14:textId="2C870C3C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432.376,94</w:t>
            </w:r>
          </w:p>
        </w:tc>
        <w:tc>
          <w:tcPr>
            <w:tcW w:w="1559" w:type="dxa"/>
            <w:vAlign w:val="center"/>
          </w:tcPr>
          <w:p w14:paraId="33B7B056" w14:textId="7563EA79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552.678,00</w:t>
            </w:r>
          </w:p>
        </w:tc>
        <w:tc>
          <w:tcPr>
            <w:tcW w:w="1560" w:type="dxa"/>
            <w:vAlign w:val="center"/>
          </w:tcPr>
          <w:p w14:paraId="28F495A1" w14:textId="5F652D73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423.352,82</w:t>
            </w:r>
          </w:p>
        </w:tc>
        <w:tc>
          <w:tcPr>
            <w:tcW w:w="1559" w:type="dxa"/>
            <w:vAlign w:val="center"/>
          </w:tcPr>
          <w:p w14:paraId="4A1D18C8" w14:textId="48568A45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97,91%</w:t>
            </w:r>
          </w:p>
        </w:tc>
        <w:tc>
          <w:tcPr>
            <w:tcW w:w="1559" w:type="dxa"/>
            <w:vAlign w:val="center"/>
          </w:tcPr>
          <w:p w14:paraId="594C7B95" w14:textId="0B7920F9" w:rsidR="00677182" w:rsidRPr="006A2B0F" w:rsidRDefault="00677182" w:rsidP="006771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76,60%</w:t>
            </w:r>
          </w:p>
        </w:tc>
      </w:tr>
      <w:tr w:rsidR="00803102" w:rsidRPr="006A2B0F" w14:paraId="74926A14" w14:textId="77777777" w:rsidTr="00C15CC1">
        <w:tc>
          <w:tcPr>
            <w:tcW w:w="803" w:type="dxa"/>
            <w:vAlign w:val="center"/>
          </w:tcPr>
          <w:p w14:paraId="0C31BD5A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6B39CFB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 PRIHODI OD PRODAJE IMOVINE I NAKNADE S NASLOVA OSIGURANJA</w:t>
            </w:r>
          </w:p>
        </w:tc>
        <w:tc>
          <w:tcPr>
            <w:tcW w:w="1559" w:type="dxa"/>
            <w:vAlign w:val="center"/>
          </w:tcPr>
          <w:p w14:paraId="23E30EF4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8C16E32" w14:textId="21BF41B3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660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0FAD5FEA" w14:textId="3A91AD68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296,90</w:t>
            </w:r>
          </w:p>
        </w:tc>
        <w:tc>
          <w:tcPr>
            <w:tcW w:w="1559" w:type="dxa"/>
            <w:vAlign w:val="center"/>
          </w:tcPr>
          <w:p w14:paraId="09454F21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42F96487" w14:textId="5321D510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44,98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0BAB75E2" w14:textId="77777777" w:rsidTr="00C15CC1">
        <w:tc>
          <w:tcPr>
            <w:tcW w:w="803" w:type="dxa"/>
            <w:vAlign w:val="center"/>
          </w:tcPr>
          <w:p w14:paraId="2FFC75B5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33C5EB9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7.3. Prihodi od naknade šteta s osnova osiguranja</w:t>
            </w:r>
          </w:p>
        </w:tc>
        <w:tc>
          <w:tcPr>
            <w:tcW w:w="1559" w:type="dxa"/>
            <w:vAlign w:val="center"/>
          </w:tcPr>
          <w:p w14:paraId="3E0A9B00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7E926E5" w14:textId="40C89A4E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0685EC26" w14:textId="07CF87B8" w:rsidR="00803102" w:rsidRPr="006A2B0F" w:rsidRDefault="002217BF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296,90</w:t>
            </w:r>
          </w:p>
        </w:tc>
        <w:tc>
          <w:tcPr>
            <w:tcW w:w="1559" w:type="dxa"/>
            <w:vAlign w:val="center"/>
          </w:tcPr>
          <w:p w14:paraId="5AC10FD2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3B88D6F6" w14:textId="66EF03A3" w:rsidR="00803102" w:rsidRPr="006A2B0F" w:rsidRDefault="0067718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44,98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</w:tbl>
    <w:p w14:paraId="4BD622C3" w14:textId="77777777" w:rsidR="00803102" w:rsidRPr="006A2B0F" w:rsidRDefault="00803102" w:rsidP="0011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Opći dio proračuna</w:t>
      </w:r>
    </w:p>
    <w:p w14:paraId="1B42D0CC" w14:textId="77777777" w:rsidR="001121B2" w:rsidRPr="006A2B0F" w:rsidRDefault="001121B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157A0" w14:textId="77777777" w:rsidR="00677182" w:rsidRPr="006A2B0F" w:rsidRDefault="0067718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B1C1A" w14:textId="77777777" w:rsidR="00677182" w:rsidRPr="006A2B0F" w:rsidRDefault="0067718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8F6E7" w14:textId="77777777" w:rsidR="00677182" w:rsidRPr="006A2B0F" w:rsidRDefault="0067718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1DA5C" w14:textId="77777777" w:rsidR="00677182" w:rsidRPr="006A2B0F" w:rsidRDefault="0067718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9CACC" w14:textId="77777777" w:rsidR="00014D1F" w:rsidRPr="006A2B0F" w:rsidRDefault="00014D1F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21B7E" w14:textId="77777777" w:rsidR="00014D1F" w:rsidRPr="006A2B0F" w:rsidRDefault="00014D1F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79722" w14:textId="77777777" w:rsidR="00677182" w:rsidRPr="006A2B0F" w:rsidRDefault="0067718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5BF76" w14:textId="77777777" w:rsidR="00803102" w:rsidRPr="00D03252" w:rsidRDefault="00803102" w:rsidP="008031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lastRenderedPageBreak/>
        <w:t>Tablica 4. Rashodi prema izvorima financiranja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6A2B0F" w14:paraId="3B589A43" w14:textId="77777777" w:rsidTr="00554E7D"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183EE45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F2F2F2" w:themeFill="background1" w:themeFillShade="F2"/>
            <w:vAlign w:val="center"/>
          </w:tcPr>
          <w:p w14:paraId="3FCB9D1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izvora financiranja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56B5B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DCD0F5" w14:textId="77777777" w:rsidR="00A65813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</w:t>
            </w:r>
            <w:r w:rsidR="00A6581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/</w:t>
            </w:r>
          </w:p>
          <w:p w14:paraId="76858A43" w14:textId="2CB2726F" w:rsidR="00803102" w:rsidRPr="006A2B0F" w:rsidRDefault="00A65813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tekući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plan za proračunsku godinu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C161E4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95865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FB28C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6A2B0F" w14:paraId="20EDBC40" w14:textId="77777777" w:rsidTr="00C15CC1">
        <w:tc>
          <w:tcPr>
            <w:tcW w:w="803" w:type="dxa"/>
            <w:vAlign w:val="center"/>
          </w:tcPr>
          <w:p w14:paraId="5122BDC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3CD65E8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06F5D4A3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1FEB386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1DDF69F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1EF0D21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17B8A063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6A2B0F" w14:paraId="24D7FBBF" w14:textId="77777777" w:rsidTr="00C15CC1">
        <w:trPr>
          <w:trHeight w:val="394"/>
        </w:trPr>
        <w:tc>
          <w:tcPr>
            <w:tcW w:w="803" w:type="dxa"/>
            <w:vAlign w:val="center"/>
          </w:tcPr>
          <w:p w14:paraId="5B5BA543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vAlign w:val="center"/>
          </w:tcPr>
          <w:p w14:paraId="65DFD627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1559" w:type="dxa"/>
            <w:vAlign w:val="center"/>
          </w:tcPr>
          <w:p w14:paraId="572775B3" w14:textId="1913B8E4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591.644,71</w:t>
            </w:r>
          </w:p>
        </w:tc>
        <w:tc>
          <w:tcPr>
            <w:tcW w:w="1559" w:type="dxa"/>
            <w:vAlign w:val="center"/>
          </w:tcPr>
          <w:p w14:paraId="1FDB4492" w14:textId="21C4474B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894.011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9E26823" w14:textId="115EA309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720.666,94</w:t>
            </w:r>
          </w:p>
        </w:tc>
        <w:tc>
          <w:tcPr>
            <w:tcW w:w="1559" w:type="dxa"/>
            <w:vAlign w:val="center"/>
          </w:tcPr>
          <w:p w14:paraId="3DC1CB0D" w14:textId="35D3CB58" w:rsidR="00803102" w:rsidRPr="006A2B0F" w:rsidRDefault="00002C4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121,81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E977E60" w14:textId="3D36CF7B" w:rsidR="00803102" w:rsidRPr="006A2B0F" w:rsidRDefault="00002C4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80,61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23A706B9" w14:textId="77777777" w:rsidTr="00C15CC1">
        <w:tc>
          <w:tcPr>
            <w:tcW w:w="803" w:type="dxa"/>
            <w:vAlign w:val="center"/>
          </w:tcPr>
          <w:p w14:paraId="0CE1A42F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476451BA" w14:textId="77777777" w:rsidR="00803102" w:rsidRPr="006A2B0F" w:rsidRDefault="00803102" w:rsidP="00C15C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 OPĆI PRIHODI I PRIMICI</w:t>
            </w:r>
          </w:p>
        </w:tc>
        <w:tc>
          <w:tcPr>
            <w:tcW w:w="1559" w:type="dxa"/>
            <w:vAlign w:val="center"/>
          </w:tcPr>
          <w:p w14:paraId="6EA01E51" w14:textId="44AB0877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231.077,</w:t>
            </w:r>
            <w:r w:rsidR="005275FE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09</w:t>
            </w:r>
          </w:p>
        </w:tc>
        <w:tc>
          <w:tcPr>
            <w:tcW w:w="1559" w:type="dxa"/>
            <w:vAlign w:val="center"/>
          </w:tcPr>
          <w:p w14:paraId="0FB7E9C9" w14:textId="7D8549DA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336.828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D908E47" w14:textId="6CA7960F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297.297,65</w:t>
            </w:r>
          </w:p>
        </w:tc>
        <w:tc>
          <w:tcPr>
            <w:tcW w:w="1559" w:type="dxa"/>
            <w:vAlign w:val="center"/>
          </w:tcPr>
          <w:p w14:paraId="4DAEED7E" w14:textId="1C864A5B" w:rsidR="00803102" w:rsidRPr="006A2B0F" w:rsidRDefault="00002C4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128,66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AD9E15A" w14:textId="57201E41" w:rsidR="00803102" w:rsidRPr="006A2B0F" w:rsidRDefault="00002C4B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88,26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6E2D2628" w14:textId="77777777" w:rsidTr="00C15CC1">
        <w:tc>
          <w:tcPr>
            <w:tcW w:w="803" w:type="dxa"/>
            <w:vAlign w:val="center"/>
          </w:tcPr>
          <w:p w14:paraId="59B9B68E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449D4D23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1.1. Prihodi od poreza za redovnu djelatnost</w:t>
            </w:r>
          </w:p>
        </w:tc>
        <w:tc>
          <w:tcPr>
            <w:tcW w:w="1559" w:type="dxa"/>
            <w:vAlign w:val="center"/>
          </w:tcPr>
          <w:p w14:paraId="61A5129A" w14:textId="34B708BF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182.026,66</w:t>
            </w:r>
          </w:p>
        </w:tc>
        <w:tc>
          <w:tcPr>
            <w:tcW w:w="1559" w:type="dxa"/>
            <w:vAlign w:val="center"/>
          </w:tcPr>
          <w:p w14:paraId="14C78473" w14:textId="1F113B70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277.608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4530F5D6" w14:textId="359F93D5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239.769,78</w:t>
            </w:r>
          </w:p>
        </w:tc>
        <w:tc>
          <w:tcPr>
            <w:tcW w:w="1559" w:type="dxa"/>
            <w:vAlign w:val="center"/>
          </w:tcPr>
          <w:p w14:paraId="0253E637" w14:textId="7A574AA0" w:rsidR="00803102" w:rsidRPr="006A2B0F" w:rsidRDefault="00290C71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131,72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67B38CCB" w14:textId="3B4F7990" w:rsidR="00803102" w:rsidRPr="006A2B0F" w:rsidRDefault="00290C71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86,37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C901411" w14:textId="77777777" w:rsidTr="00C15CC1">
        <w:tc>
          <w:tcPr>
            <w:tcW w:w="803" w:type="dxa"/>
            <w:vAlign w:val="center"/>
          </w:tcPr>
          <w:p w14:paraId="551DB847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70335D6C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7D93EC12" w14:textId="34A97FC2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176.777,34</w:t>
            </w:r>
          </w:p>
        </w:tc>
        <w:tc>
          <w:tcPr>
            <w:tcW w:w="1559" w:type="dxa"/>
            <w:vAlign w:val="center"/>
          </w:tcPr>
          <w:p w14:paraId="2ED467D9" w14:textId="088412B6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273.918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25A0CCAC" w14:textId="2C8A9258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237.747,38</w:t>
            </w:r>
          </w:p>
        </w:tc>
        <w:tc>
          <w:tcPr>
            <w:tcW w:w="1559" w:type="dxa"/>
            <w:vAlign w:val="center"/>
          </w:tcPr>
          <w:p w14:paraId="24D897FC" w14:textId="1282A8E4" w:rsidR="00803102" w:rsidRPr="006A2B0F" w:rsidRDefault="00290C7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134,49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244B6C8D" w14:textId="3A13FF34" w:rsidR="00803102" w:rsidRPr="006A2B0F" w:rsidRDefault="00290C7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86,80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160720F" w14:textId="77777777" w:rsidTr="00C15CC1">
        <w:tc>
          <w:tcPr>
            <w:tcW w:w="803" w:type="dxa"/>
            <w:vAlign w:val="center"/>
          </w:tcPr>
          <w:p w14:paraId="3E5ECEE1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5146" w:type="dxa"/>
            <w:vAlign w:val="center"/>
          </w:tcPr>
          <w:p w14:paraId="56336D9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0DFF6018" w14:textId="0697737E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5.249,32</w:t>
            </w:r>
          </w:p>
        </w:tc>
        <w:tc>
          <w:tcPr>
            <w:tcW w:w="1559" w:type="dxa"/>
            <w:vAlign w:val="center"/>
          </w:tcPr>
          <w:p w14:paraId="19163B55" w14:textId="64F6A315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3.690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04EEF1B7" w14:textId="785A9D2C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2.022,40</w:t>
            </w:r>
          </w:p>
        </w:tc>
        <w:tc>
          <w:tcPr>
            <w:tcW w:w="1559" w:type="dxa"/>
            <w:vAlign w:val="center"/>
          </w:tcPr>
          <w:p w14:paraId="5DBBB80B" w14:textId="37781B90" w:rsidR="00803102" w:rsidRPr="006A2B0F" w:rsidRDefault="00290C7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38,53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0590718A" w14:textId="57E7506C" w:rsidR="00803102" w:rsidRPr="006A2B0F" w:rsidRDefault="00290C71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54,81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1F13F3B" w14:textId="77777777" w:rsidTr="00C15CC1">
        <w:tc>
          <w:tcPr>
            <w:tcW w:w="803" w:type="dxa"/>
            <w:vAlign w:val="center"/>
          </w:tcPr>
          <w:p w14:paraId="3C046265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F3F9855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1.9. Opći prihodi i primici za predfinanciranje  projekata - PK</w:t>
            </w:r>
          </w:p>
        </w:tc>
        <w:tc>
          <w:tcPr>
            <w:tcW w:w="1559" w:type="dxa"/>
            <w:vAlign w:val="center"/>
          </w:tcPr>
          <w:p w14:paraId="15C3ADFA" w14:textId="50CEDECE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49.050,43</w:t>
            </w:r>
          </w:p>
        </w:tc>
        <w:tc>
          <w:tcPr>
            <w:tcW w:w="1559" w:type="dxa"/>
            <w:vAlign w:val="center"/>
          </w:tcPr>
          <w:p w14:paraId="0EF61309" w14:textId="1B832FC9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59.220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144F120" w14:textId="4F87FBB3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57.527,87</w:t>
            </w:r>
          </w:p>
        </w:tc>
        <w:tc>
          <w:tcPr>
            <w:tcW w:w="1559" w:type="dxa"/>
            <w:vAlign w:val="center"/>
          </w:tcPr>
          <w:p w14:paraId="1CE31C96" w14:textId="7E57FE5C" w:rsidR="00803102" w:rsidRPr="006A2B0F" w:rsidRDefault="009F78F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117,28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4FCC76AA" w14:textId="41B78189" w:rsidR="00803102" w:rsidRPr="006A2B0F" w:rsidRDefault="009F78F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97,14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2FD083EE" w14:textId="77777777" w:rsidTr="00C15CC1">
        <w:tc>
          <w:tcPr>
            <w:tcW w:w="803" w:type="dxa"/>
            <w:vAlign w:val="center"/>
          </w:tcPr>
          <w:p w14:paraId="4F13B4B7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4208BB1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63FEC07D" w14:textId="12725A8D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49.050,43</w:t>
            </w:r>
          </w:p>
        </w:tc>
        <w:tc>
          <w:tcPr>
            <w:tcW w:w="1559" w:type="dxa"/>
            <w:vAlign w:val="center"/>
          </w:tcPr>
          <w:p w14:paraId="3F2B78C4" w14:textId="340761BC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59.220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01C4CCA0" w14:textId="151E537C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57.527,87</w:t>
            </w:r>
          </w:p>
        </w:tc>
        <w:tc>
          <w:tcPr>
            <w:tcW w:w="1559" w:type="dxa"/>
            <w:vAlign w:val="center"/>
          </w:tcPr>
          <w:p w14:paraId="75EACC4C" w14:textId="2DE3DB5A" w:rsidR="00803102" w:rsidRPr="006A2B0F" w:rsidRDefault="009F78F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117,28%</w:t>
            </w:r>
          </w:p>
        </w:tc>
        <w:tc>
          <w:tcPr>
            <w:tcW w:w="1559" w:type="dxa"/>
            <w:vAlign w:val="center"/>
          </w:tcPr>
          <w:p w14:paraId="4BAC65F7" w14:textId="60C2D739" w:rsidR="00803102" w:rsidRPr="006A2B0F" w:rsidRDefault="009F78F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97,14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C2069EE" w14:textId="77777777" w:rsidTr="00C15CC1">
        <w:tc>
          <w:tcPr>
            <w:tcW w:w="803" w:type="dxa"/>
            <w:vAlign w:val="center"/>
          </w:tcPr>
          <w:p w14:paraId="6D621B13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67B58B08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 VLASTITI PRIHODI</w:t>
            </w:r>
          </w:p>
        </w:tc>
        <w:tc>
          <w:tcPr>
            <w:tcW w:w="1559" w:type="dxa"/>
            <w:vAlign w:val="center"/>
          </w:tcPr>
          <w:p w14:paraId="3AA397BC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100DB5E" w14:textId="3B2E686C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100,00</w:t>
            </w:r>
          </w:p>
        </w:tc>
        <w:tc>
          <w:tcPr>
            <w:tcW w:w="1560" w:type="dxa"/>
            <w:vAlign w:val="center"/>
          </w:tcPr>
          <w:p w14:paraId="08EC7759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2AB4EC5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30F9D9AC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6A2B0F" w14:paraId="30D4A22F" w14:textId="77777777" w:rsidTr="00C15CC1">
        <w:tc>
          <w:tcPr>
            <w:tcW w:w="803" w:type="dxa"/>
            <w:vAlign w:val="center"/>
          </w:tcPr>
          <w:p w14:paraId="028CD67C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00D12CF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3.1. Vlastiti prihodi – proračunski korisnici</w:t>
            </w:r>
          </w:p>
        </w:tc>
        <w:tc>
          <w:tcPr>
            <w:tcW w:w="1559" w:type="dxa"/>
            <w:vAlign w:val="center"/>
          </w:tcPr>
          <w:p w14:paraId="40977F25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EF5873C" w14:textId="66F8B92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  <w:r w:rsidR="00A35C77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7C51C5A3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817EAEF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789CC23D" w14:textId="1D71C4B1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6A2B0F" w14:paraId="4B5CB630" w14:textId="77777777" w:rsidTr="00C15CC1">
        <w:trPr>
          <w:trHeight w:val="324"/>
        </w:trPr>
        <w:tc>
          <w:tcPr>
            <w:tcW w:w="803" w:type="dxa"/>
            <w:vAlign w:val="center"/>
          </w:tcPr>
          <w:p w14:paraId="685EC10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161F6510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 POMOĆI</w:t>
            </w:r>
          </w:p>
        </w:tc>
        <w:tc>
          <w:tcPr>
            <w:tcW w:w="1559" w:type="dxa"/>
            <w:vAlign w:val="center"/>
          </w:tcPr>
          <w:p w14:paraId="4D74C98A" w14:textId="77C35FC1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360.567,62</w:t>
            </w:r>
          </w:p>
        </w:tc>
        <w:tc>
          <w:tcPr>
            <w:tcW w:w="1559" w:type="dxa"/>
            <w:vAlign w:val="center"/>
          </w:tcPr>
          <w:p w14:paraId="14648BDA" w14:textId="18E98212" w:rsidR="00803102" w:rsidRPr="006A2B0F" w:rsidRDefault="00A35C77" w:rsidP="00A35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  556.423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7055E011" w14:textId="19A3FC93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423.369,29</w:t>
            </w:r>
          </w:p>
        </w:tc>
        <w:tc>
          <w:tcPr>
            <w:tcW w:w="1559" w:type="dxa"/>
            <w:vAlign w:val="center"/>
          </w:tcPr>
          <w:p w14:paraId="2981DD05" w14:textId="1F7BECDA" w:rsidR="00803102" w:rsidRPr="006A2B0F" w:rsidRDefault="005275FE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117,42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7608D192" w14:textId="61349AF4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  <w:r w:rsidR="009F78F7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6,09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5D4290" w:rsidRPr="006A2B0F" w14:paraId="075DF89C" w14:textId="77777777" w:rsidTr="00C15CC1">
        <w:tc>
          <w:tcPr>
            <w:tcW w:w="803" w:type="dxa"/>
            <w:vAlign w:val="center"/>
          </w:tcPr>
          <w:p w14:paraId="221415EC" w14:textId="77777777" w:rsidR="005D4290" w:rsidRPr="006A2B0F" w:rsidRDefault="005D4290" w:rsidP="005D42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799D041" w14:textId="77777777" w:rsidR="005D4290" w:rsidRPr="006A2B0F" w:rsidRDefault="005D4290" w:rsidP="005D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5.8. Sredstva EU – proračunski korisnici</w:t>
            </w:r>
          </w:p>
        </w:tc>
        <w:tc>
          <w:tcPr>
            <w:tcW w:w="1559" w:type="dxa"/>
            <w:vAlign w:val="center"/>
          </w:tcPr>
          <w:p w14:paraId="62D73F6D" w14:textId="54EAB5F4" w:rsidR="005D4290" w:rsidRPr="006A2B0F" w:rsidRDefault="005D4290" w:rsidP="005D42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360.567,62</w:t>
            </w:r>
          </w:p>
        </w:tc>
        <w:tc>
          <w:tcPr>
            <w:tcW w:w="1559" w:type="dxa"/>
            <w:vAlign w:val="center"/>
          </w:tcPr>
          <w:p w14:paraId="76A93580" w14:textId="616F6C79" w:rsidR="005D4290" w:rsidRPr="006A2B0F" w:rsidRDefault="005D4290" w:rsidP="005D42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556.423,00</w:t>
            </w:r>
          </w:p>
        </w:tc>
        <w:tc>
          <w:tcPr>
            <w:tcW w:w="1560" w:type="dxa"/>
            <w:vAlign w:val="center"/>
          </w:tcPr>
          <w:p w14:paraId="547667D5" w14:textId="2A677BA2" w:rsidR="005D4290" w:rsidRPr="006A2B0F" w:rsidRDefault="005D4290" w:rsidP="005D42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423.369,29</w:t>
            </w:r>
          </w:p>
        </w:tc>
        <w:tc>
          <w:tcPr>
            <w:tcW w:w="1559" w:type="dxa"/>
            <w:vAlign w:val="center"/>
          </w:tcPr>
          <w:p w14:paraId="5D7A4BCA" w14:textId="55F237EC" w:rsidR="005D4290" w:rsidRPr="006A2B0F" w:rsidRDefault="005275FE" w:rsidP="005D42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117,42</w:t>
            </w:r>
            <w:r w:rsidR="005D4290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37BA766D" w14:textId="0614DD7E" w:rsidR="005D4290" w:rsidRPr="006A2B0F" w:rsidRDefault="005D4290" w:rsidP="005D42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76,09%</w:t>
            </w:r>
          </w:p>
        </w:tc>
      </w:tr>
      <w:tr w:rsidR="00803102" w:rsidRPr="006A2B0F" w14:paraId="32962C11" w14:textId="77777777" w:rsidTr="00C15CC1">
        <w:tc>
          <w:tcPr>
            <w:tcW w:w="803" w:type="dxa"/>
            <w:vAlign w:val="center"/>
          </w:tcPr>
          <w:p w14:paraId="3B173750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04B1CC36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33F3E66B" w14:textId="4A1F89A8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350.168,38</w:t>
            </w:r>
          </w:p>
        </w:tc>
        <w:tc>
          <w:tcPr>
            <w:tcW w:w="1559" w:type="dxa"/>
            <w:vAlign w:val="center"/>
          </w:tcPr>
          <w:p w14:paraId="2EDB768E" w14:textId="4A88035F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541.183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45FFDB4" w14:textId="510B3FD4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411.908,99</w:t>
            </w:r>
          </w:p>
        </w:tc>
        <w:tc>
          <w:tcPr>
            <w:tcW w:w="1559" w:type="dxa"/>
            <w:vAlign w:val="center"/>
          </w:tcPr>
          <w:p w14:paraId="6194AD3E" w14:textId="7194445C" w:rsidR="00803102" w:rsidRPr="006A2B0F" w:rsidRDefault="005D4290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117,63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FC70EF9" w14:textId="2C15E3F6" w:rsidR="00803102" w:rsidRPr="006A2B0F" w:rsidRDefault="005D4290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76,11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613AF6CE" w14:textId="77777777" w:rsidTr="00C15CC1">
        <w:tc>
          <w:tcPr>
            <w:tcW w:w="803" w:type="dxa"/>
            <w:vAlign w:val="center"/>
          </w:tcPr>
          <w:p w14:paraId="46255833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5146" w:type="dxa"/>
            <w:vAlign w:val="center"/>
          </w:tcPr>
          <w:p w14:paraId="21B57612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497F4656" w14:textId="7B091E07" w:rsidR="00803102" w:rsidRPr="006A2B0F" w:rsidRDefault="001E3659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10.399,2</w:t>
            </w:r>
            <w:r w:rsidR="005275FE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vAlign w:val="center"/>
          </w:tcPr>
          <w:p w14:paraId="32BA3B1E" w14:textId="39E69212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15.240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2D7ABAA0" w14:textId="2BDFBC01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11.460,30</w:t>
            </w:r>
          </w:p>
        </w:tc>
        <w:tc>
          <w:tcPr>
            <w:tcW w:w="1559" w:type="dxa"/>
            <w:vAlign w:val="center"/>
          </w:tcPr>
          <w:p w14:paraId="585665F6" w14:textId="797D7968" w:rsidR="00803102" w:rsidRPr="006A2B0F" w:rsidRDefault="005D4290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110,20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05928668" w14:textId="6CB24E5E" w:rsidR="00803102" w:rsidRPr="006A2B0F" w:rsidRDefault="005D4290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75,20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169BC36C" w14:textId="77777777" w:rsidTr="00C15CC1">
        <w:tc>
          <w:tcPr>
            <w:tcW w:w="803" w:type="dxa"/>
            <w:vAlign w:val="center"/>
          </w:tcPr>
          <w:p w14:paraId="6FD2906F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BFBF40F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 PRIHODI OD PRODAJE IMOVINE I NAKNADE S NASLOVA OSIGURANJA</w:t>
            </w:r>
          </w:p>
        </w:tc>
        <w:tc>
          <w:tcPr>
            <w:tcW w:w="1559" w:type="dxa"/>
            <w:vAlign w:val="center"/>
          </w:tcPr>
          <w:p w14:paraId="0BCEE41B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1B118EA4" w14:textId="355198FF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660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0B99F137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2BC770F8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D45B775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6A2B0F" w14:paraId="027090C8" w14:textId="77777777" w:rsidTr="00C15CC1">
        <w:tc>
          <w:tcPr>
            <w:tcW w:w="803" w:type="dxa"/>
            <w:vAlign w:val="center"/>
          </w:tcPr>
          <w:p w14:paraId="70A4B762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A1C30CB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7.3. Prihodi od naknade šteta s osnova osiguranja</w:t>
            </w:r>
          </w:p>
        </w:tc>
        <w:tc>
          <w:tcPr>
            <w:tcW w:w="1559" w:type="dxa"/>
            <w:vAlign w:val="center"/>
          </w:tcPr>
          <w:p w14:paraId="2688E83D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D4235D0" w14:textId="5EC6607C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660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20175B9C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B222AA4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28CAAD8C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6A2B0F" w14:paraId="3047880E" w14:textId="77777777" w:rsidTr="00C15CC1">
        <w:tc>
          <w:tcPr>
            <w:tcW w:w="803" w:type="dxa"/>
            <w:vAlign w:val="center"/>
          </w:tcPr>
          <w:p w14:paraId="336EEF9F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41EB6BA0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7F8CA0D4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102DEB3" w14:textId="4F416A1E" w:rsidR="00803102" w:rsidRPr="006A2B0F" w:rsidRDefault="00A35C77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660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76265244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72EE15B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C883435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</w:tbl>
    <w:p w14:paraId="433B60C5" w14:textId="77777777" w:rsidR="00803102" w:rsidRPr="006A2B0F" w:rsidRDefault="00803102" w:rsidP="0011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Opći dio proračuna</w:t>
      </w:r>
    </w:p>
    <w:p w14:paraId="7C8AEC24" w14:textId="77777777" w:rsidR="00014D1F" w:rsidRPr="006A2B0F" w:rsidRDefault="00014D1F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4B7AE" w14:textId="4A85729E" w:rsidR="00803102" w:rsidRPr="00D03252" w:rsidRDefault="00803102" w:rsidP="008031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lastRenderedPageBreak/>
        <w:t>Tablica 5. Rashodi prema funkcijskoj klasifikaciji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6A2B0F" w14:paraId="30720698" w14:textId="77777777" w:rsidTr="00554E7D"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58F75DB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F2F2F2" w:themeFill="background1" w:themeFillShade="F2"/>
            <w:vAlign w:val="center"/>
          </w:tcPr>
          <w:p w14:paraId="24D2DE3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funkcijske klasifikacije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A4C32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E613FF" w14:textId="77777777" w:rsidR="00A65813" w:rsidRPr="006A2B0F" w:rsidRDefault="00803102" w:rsidP="00A65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</w:t>
            </w:r>
            <w:r w:rsidR="00A65813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/</w:t>
            </w:r>
          </w:p>
          <w:p w14:paraId="73E02FDF" w14:textId="79AB40E9" w:rsidR="00803102" w:rsidRPr="006A2B0F" w:rsidRDefault="00A65813" w:rsidP="00A65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tekući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plan za proračunsku godinu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A996363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86C40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ADCBD9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6A2B0F" w14:paraId="072C6412" w14:textId="77777777" w:rsidTr="00C15CC1">
        <w:tc>
          <w:tcPr>
            <w:tcW w:w="803" w:type="dxa"/>
            <w:vAlign w:val="center"/>
          </w:tcPr>
          <w:p w14:paraId="2173C8F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71F26E9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7C89B181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496B9E7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40AB3E21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047B5E5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0BDF0E1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6A2B0F" w14:paraId="764326D0" w14:textId="77777777" w:rsidTr="00C15CC1">
        <w:trPr>
          <w:trHeight w:val="394"/>
        </w:trPr>
        <w:tc>
          <w:tcPr>
            <w:tcW w:w="803" w:type="dxa"/>
            <w:vAlign w:val="center"/>
          </w:tcPr>
          <w:p w14:paraId="4D07C69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04</w:t>
            </w:r>
          </w:p>
        </w:tc>
        <w:tc>
          <w:tcPr>
            <w:tcW w:w="5146" w:type="dxa"/>
            <w:vAlign w:val="center"/>
          </w:tcPr>
          <w:p w14:paraId="3E5AE766" w14:textId="1D38A50F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EKONOM</w:t>
            </w:r>
            <w:r w:rsidR="009F5E01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KI POSLOVI</w:t>
            </w:r>
          </w:p>
        </w:tc>
        <w:tc>
          <w:tcPr>
            <w:tcW w:w="1559" w:type="dxa"/>
            <w:vAlign w:val="center"/>
          </w:tcPr>
          <w:p w14:paraId="406C0BA5" w14:textId="13D6DB42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591.644,72</w:t>
            </w:r>
          </w:p>
        </w:tc>
        <w:tc>
          <w:tcPr>
            <w:tcW w:w="1559" w:type="dxa"/>
            <w:vAlign w:val="center"/>
          </w:tcPr>
          <w:p w14:paraId="0C079FBF" w14:textId="2A6EB2EE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894.011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1B881DF5" w14:textId="79F8DDC0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720.666,94</w:t>
            </w:r>
          </w:p>
        </w:tc>
        <w:tc>
          <w:tcPr>
            <w:tcW w:w="1559" w:type="dxa"/>
            <w:vAlign w:val="center"/>
          </w:tcPr>
          <w:p w14:paraId="4FF202FD" w14:textId="377E4259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  <w:r w:rsidR="00936458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21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,</w:t>
            </w:r>
            <w:r w:rsidR="00936458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81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2698C97" w14:textId="559AD4EA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80,61</w:t>
            </w:r>
            <w:r w:rsidR="00803102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803102" w:rsidRPr="006A2B0F" w14:paraId="7C9FA1B5" w14:textId="77777777" w:rsidTr="00C15CC1">
        <w:trPr>
          <w:trHeight w:val="222"/>
        </w:trPr>
        <w:tc>
          <w:tcPr>
            <w:tcW w:w="803" w:type="dxa"/>
            <w:vAlign w:val="center"/>
          </w:tcPr>
          <w:p w14:paraId="0934EEFB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041</w:t>
            </w:r>
          </w:p>
        </w:tc>
        <w:tc>
          <w:tcPr>
            <w:tcW w:w="5146" w:type="dxa"/>
            <w:vAlign w:val="center"/>
          </w:tcPr>
          <w:p w14:paraId="4EC0B892" w14:textId="77777777" w:rsidR="00803102" w:rsidRPr="006A2B0F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ekonomski, trgovački i poslovi vezani uz rad</w:t>
            </w:r>
          </w:p>
        </w:tc>
        <w:tc>
          <w:tcPr>
            <w:tcW w:w="1559" w:type="dxa"/>
            <w:vAlign w:val="center"/>
          </w:tcPr>
          <w:p w14:paraId="5275AB61" w14:textId="358695E0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126.631,93</w:t>
            </w:r>
          </w:p>
        </w:tc>
        <w:tc>
          <w:tcPr>
            <w:tcW w:w="1559" w:type="dxa"/>
            <w:vAlign w:val="center"/>
          </w:tcPr>
          <w:p w14:paraId="073C8920" w14:textId="49171026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187.168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  <w:tc>
          <w:tcPr>
            <w:tcW w:w="1560" w:type="dxa"/>
            <w:vAlign w:val="center"/>
          </w:tcPr>
          <w:p w14:paraId="38653EC8" w14:textId="44C2F2EC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169.264,14</w:t>
            </w:r>
          </w:p>
        </w:tc>
        <w:tc>
          <w:tcPr>
            <w:tcW w:w="1559" w:type="dxa"/>
            <w:vAlign w:val="center"/>
          </w:tcPr>
          <w:p w14:paraId="1F26544D" w14:textId="664F9494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133,67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59" w:type="dxa"/>
            <w:vAlign w:val="center"/>
          </w:tcPr>
          <w:p w14:paraId="1C7CD90E" w14:textId="7E7DD496" w:rsidR="00803102" w:rsidRPr="006A2B0F" w:rsidRDefault="00936458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90,43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936458" w:rsidRPr="006A2B0F" w14:paraId="4DD6FBC9" w14:textId="77777777" w:rsidTr="00C15CC1">
        <w:trPr>
          <w:trHeight w:val="353"/>
        </w:trPr>
        <w:tc>
          <w:tcPr>
            <w:tcW w:w="803" w:type="dxa"/>
            <w:vAlign w:val="center"/>
          </w:tcPr>
          <w:p w14:paraId="130BA2BB" w14:textId="77777777" w:rsidR="00936458" w:rsidRPr="006A2B0F" w:rsidRDefault="00936458" w:rsidP="009364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0411</w:t>
            </w:r>
          </w:p>
        </w:tc>
        <w:tc>
          <w:tcPr>
            <w:tcW w:w="5146" w:type="dxa"/>
            <w:vAlign w:val="center"/>
          </w:tcPr>
          <w:p w14:paraId="406E8AB8" w14:textId="77777777" w:rsidR="00936458" w:rsidRPr="006A2B0F" w:rsidRDefault="00936458" w:rsidP="009364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ekonomski i trgovački poslovi</w:t>
            </w:r>
          </w:p>
        </w:tc>
        <w:tc>
          <w:tcPr>
            <w:tcW w:w="1559" w:type="dxa"/>
            <w:vAlign w:val="center"/>
          </w:tcPr>
          <w:p w14:paraId="6BCC83D1" w14:textId="34D46DEF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126.631,93</w:t>
            </w:r>
          </w:p>
        </w:tc>
        <w:tc>
          <w:tcPr>
            <w:tcW w:w="1559" w:type="dxa"/>
            <w:vAlign w:val="center"/>
          </w:tcPr>
          <w:p w14:paraId="1FE9D400" w14:textId="1F070BA9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187.168,00</w:t>
            </w:r>
          </w:p>
        </w:tc>
        <w:tc>
          <w:tcPr>
            <w:tcW w:w="1560" w:type="dxa"/>
            <w:vAlign w:val="center"/>
          </w:tcPr>
          <w:p w14:paraId="6876CD34" w14:textId="47ADA853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169.264,14</w:t>
            </w:r>
          </w:p>
        </w:tc>
        <w:tc>
          <w:tcPr>
            <w:tcW w:w="1559" w:type="dxa"/>
            <w:vAlign w:val="center"/>
          </w:tcPr>
          <w:p w14:paraId="30AB2F7D" w14:textId="14D66B05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133,67%</w:t>
            </w:r>
          </w:p>
        </w:tc>
        <w:tc>
          <w:tcPr>
            <w:tcW w:w="1559" w:type="dxa"/>
            <w:vAlign w:val="center"/>
          </w:tcPr>
          <w:p w14:paraId="3249A1F5" w14:textId="20CF17AF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90,43%</w:t>
            </w:r>
          </w:p>
        </w:tc>
      </w:tr>
      <w:tr w:rsidR="00936458" w:rsidRPr="006A2B0F" w14:paraId="65401B3B" w14:textId="77777777" w:rsidTr="00C15CC1">
        <w:trPr>
          <w:trHeight w:val="287"/>
        </w:trPr>
        <w:tc>
          <w:tcPr>
            <w:tcW w:w="803" w:type="dxa"/>
            <w:vAlign w:val="center"/>
          </w:tcPr>
          <w:p w14:paraId="4B86284F" w14:textId="77777777" w:rsidR="00936458" w:rsidRPr="006A2B0F" w:rsidRDefault="00936458" w:rsidP="009364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049</w:t>
            </w:r>
          </w:p>
        </w:tc>
        <w:tc>
          <w:tcPr>
            <w:tcW w:w="5146" w:type="dxa"/>
            <w:vAlign w:val="center"/>
          </w:tcPr>
          <w:p w14:paraId="74C533D1" w14:textId="77777777" w:rsidR="00936458" w:rsidRPr="006A2B0F" w:rsidRDefault="00936458" w:rsidP="009364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Ekonomski poslovi koji nisu drugdje svrstani</w:t>
            </w:r>
          </w:p>
        </w:tc>
        <w:tc>
          <w:tcPr>
            <w:tcW w:w="1559" w:type="dxa"/>
            <w:vAlign w:val="center"/>
          </w:tcPr>
          <w:p w14:paraId="4C61BFF4" w14:textId="1F1AA305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465.012,79</w:t>
            </w:r>
          </w:p>
        </w:tc>
        <w:tc>
          <w:tcPr>
            <w:tcW w:w="1559" w:type="dxa"/>
            <w:vAlign w:val="center"/>
          </w:tcPr>
          <w:p w14:paraId="5D0DC430" w14:textId="472B6AFF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706.843,00</w:t>
            </w:r>
          </w:p>
        </w:tc>
        <w:tc>
          <w:tcPr>
            <w:tcW w:w="1560" w:type="dxa"/>
            <w:vAlign w:val="center"/>
          </w:tcPr>
          <w:p w14:paraId="742C4964" w14:textId="5A7BAFA4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551.402,80</w:t>
            </w:r>
          </w:p>
        </w:tc>
        <w:tc>
          <w:tcPr>
            <w:tcW w:w="1559" w:type="dxa"/>
            <w:vAlign w:val="center"/>
          </w:tcPr>
          <w:p w14:paraId="62086701" w14:textId="5ECFEEC4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118,58%</w:t>
            </w:r>
          </w:p>
        </w:tc>
        <w:tc>
          <w:tcPr>
            <w:tcW w:w="1559" w:type="dxa"/>
            <w:vAlign w:val="center"/>
          </w:tcPr>
          <w:p w14:paraId="77647DEE" w14:textId="4C1FDAE7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78,01%</w:t>
            </w:r>
          </w:p>
        </w:tc>
      </w:tr>
      <w:tr w:rsidR="00936458" w:rsidRPr="006A2B0F" w14:paraId="34AF3BEC" w14:textId="77777777" w:rsidTr="00C15CC1">
        <w:trPr>
          <w:trHeight w:val="263"/>
        </w:trPr>
        <w:tc>
          <w:tcPr>
            <w:tcW w:w="803" w:type="dxa"/>
            <w:vAlign w:val="center"/>
          </w:tcPr>
          <w:p w14:paraId="6761855E" w14:textId="77777777" w:rsidR="00936458" w:rsidRPr="006A2B0F" w:rsidRDefault="00936458" w:rsidP="009364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0491</w:t>
            </w:r>
          </w:p>
        </w:tc>
        <w:tc>
          <w:tcPr>
            <w:tcW w:w="5146" w:type="dxa"/>
            <w:vAlign w:val="center"/>
          </w:tcPr>
          <w:p w14:paraId="2346464F" w14:textId="77777777" w:rsidR="00936458" w:rsidRPr="006A2B0F" w:rsidRDefault="00936458" w:rsidP="009364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Ekonomski poslovi koji nisu drugdje svrstani</w:t>
            </w:r>
          </w:p>
        </w:tc>
        <w:tc>
          <w:tcPr>
            <w:tcW w:w="1559" w:type="dxa"/>
            <w:vAlign w:val="center"/>
          </w:tcPr>
          <w:p w14:paraId="5A041266" w14:textId="5497C39D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465.012,79</w:t>
            </w:r>
          </w:p>
        </w:tc>
        <w:tc>
          <w:tcPr>
            <w:tcW w:w="1559" w:type="dxa"/>
            <w:vAlign w:val="center"/>
          </w:tcPr>
          <w:p w14:paraId="6942BAC1" w14:textId="4BBEEF99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706.843,00</w:t>
            </w:r>
          </w:p>
        </w:tc>
        <w:tc>
          <w:tcPr>
            <w:tcW w:w="1560" w:type="dxa"/>
            <w:vAlign w:val="center"/>
          </w:tcPr>
          <w:p w14:paraId="400366F0" w14:textId="49C743B7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551.402,80</w:t>
            </w:r>
          </w:p>
        </w:tc>
        <w:tc>
          <w:tcPr>
            <w:tcW w:w="1559" w:type="dxa"/>
            <w:vAlign w:val="center"/>
          </w:tcPr>
          <w:p w14:paraId="5D90E372" w14:textId="5BC53226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118,58%</w:t>
            </w:r>
          </w:p>
        </w:tc>
        <w:tc>
          <w:tcPr>
            <w:tcW w:w="1559" w:type="dxa"/>
            <w:vAlign w:val="center"/>
          </w:tcPr>
          <w:p w14:paraId="1A727996" w14:textId="79B66A79" w:rsidR="00936458" w:rsidRPr="006A2B0F" w:rsidRDefault="00936458" w:rsidP="009364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78,01%</w:t>
            </w:r>
          </w:p>
        </w:tc>
      </w:tr>
    </w:tbl>
    <w:p w14:paraId="419A8AB3" w14:textId="77777777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Opći dio proračuna</w:t>
      </w:r>
    </w:p>
    <w:p w14:paraId="36BFED13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3102" w:rsidRPr="006A2B0F" w:rsidSect="00014D1F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14:paraId="346FF6ED" w14:textId="77777777" w:rsidR="00A65813" w:rsidRDefault="001D5521" w:rsidP="00E21B4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II.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POSEBNI DIO</w:t>
      </w:r>
    </w:p>
    <w:p w14:paraId="7EE1A641" w14:textId="77777777" w:rsidR="00A902B7" w:rsidRPr="006A2B0F" w:rsidRDefault="00A902B7" w:rsidP="00E21B4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85814A" w14:textId="69310EA3" w:rsidR="00E21B4C" w:rsidRPr="00D03252" w:rsidRDefault="002D6606" w:rsidP="00E21B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 xml:space="preserve">Tablica 6. </w:t>
      </w:r>
      <w:r w:rsidR="00A65813" w:rsidRPr="00D03252">
        <w:rPr>
          <w:rFonts w:ascii="Times New Roman" w:hAnsi="Times New Roman" w:cs="Times New Roman"/>
          <w:i/>
          <w:iCs/>
          <w:sz w:val="24"/>
          <w:szCs w:val="24"/>
        </w:rPr>
        <w:t>Rashodi i izdaci po organizacijskoj i programskoj klasifikaciji prikazuju se kako slijedi:</w:t>
      </w:r>
    </w:p>
    <w:tbl>
      <w:tblPr>
        <w:tblStyle w:val="TableGrid0"/>
        <w:tblW w:w="10620" w:type="dxa"/>
        <w:jc w:val="center"/>
        <w:tblInd w:w="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39" w:type="dxa"/>
          <w:right w:w="173" w:type="dxa"/>
        </w:tblCellMar>
        <w:tblLook w:val="04A0" w:firstRow="1" w:lastRow="0" w:firstColumn="1" w:lastColumn="0" w:noHBand="0" w:noVBand="1"/>
      </w:tblPr>
      <w:tblGrid>
        <w:gridCol w:w="6"/>
        <w:gridCol w:w="28"/>
        <w:gridCol w:w="54"/>
        <w:gridCol w:w="1260"/>
        <w:gridCol w:w="3516"/>
        <w:gridCol w:w="2107"/>
        <w:gridCol w:w="2243"/>
        <w:gridCol w:w="1406"/>
      </w:tblGrid>
      <w:tr w:rsidR="0084254D" w:rsidRPr="006A2B0F" w14:paraId="5D34DF2F" w14:textId="77777777" w:rsidTr="00B47FAC">
        <w:trPr>
          <w:gridBefore w:val="1"/>
          <w:wBefore w:w="6" w:type="dxa"/>
          <w:trHeight w:val="720"/>
          <w:jc w:val="center"/>
        </w:trPr>
        <w:tc>
          <w:tcPr>
            <w:tcW w:w="10614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1DE21A5" w14:textId="77777777" w:rsidR="0084254D" w:rsidRPr="006A2B0F" w:rsidRDefault="0084254D">
            <w:pPr>
              <w:ind w:right="15"/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POSEBNI DIO PRORAČUNA</w:t>
            </w:r>
          </w:p>
          <w:p w14:paraId="01BD7B6E" w14:textId="77777777" w:rsidR="0084254D" w:rsidRPr="006A2B0F" w:rsidRDefault="0084254D">
            <w:pPr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Ostvarenje za razdoblje od 1.1.2023. do 31.12.2023.</w:t>
            </w:r>
          </w:p>
        </w:tc>
      </w:tr>
      <w:tr w:rsidR="0084254D" w:rsidRPr="006A2B0F" w14:paraId="4E52C528" w14:textId="77777777" w:rsidTr="00B47FAC">
        <w:trPr>
          <w:gridBefore w:val="1"/>
          <w:wBefore w:w="6" w:type="dxa"/>
          <w:trHeight w:val="2565"/>
          <w:jc w:val="center"/>
        </w:trPr>
        <w:tc>
          <w:tcPr>
            <w:tcW w:w="485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062FF11" w14:textId="6C89E6A4" w:rsidR="0084254D" w:rsidRPr="006A2B0F" w:rsidRDefault="008425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Brojčana oznaka i naziv razdjela, glave, izvora financiranja, </w:t>
            </w:r>
            <w:r w:rsidR="00A65813"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organizacije, </w:t>
            </w: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programa, aktivnosti i projekta te računa ekonomske klasifikacije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0E01CBA" w14:textId="570722F8" w:rsidR="0084254D" w:rsidRPr="006A2B0F" w:rsidRDefault="0084254D">
            <w:pPr>
              <w:ind w:right="-16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Izvorni</w:t>
            </w:r>
            <w:r w:rsidR="00A65813"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/tekući</w:t>
            </w: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plan za proračunsku godinu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0BAAE1D" w14:textId="77777777" w:rsidR="0084254D" w:rsidRPr="006A2B0F" w:rsidRDefault="0084254D">
            <w:pPr>
              <w:ind w:right="-16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Izvršenje za proračunsku godinu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4B65E44" w14:textId="77777777" w:rsidR="0084254D" w:rsidRPr="006A2B0F" w:rsidRDefault="0084254D">
            <w:pPr>
              <w:ind w:right="-1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Indeks izvršenja za proračunsku godinu u odnosu na izvorni plan</w:t>
            </w:r>
          </w:p>
          <w:p w14:paraId="634AF981" w14:textId="77777777" w:rsidR="0084254D" w:rsidRPr="006A2B0F" w:rsidRDefault="0084254D">
            <w:pPr>
              <w:ind w:right="-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za proračunsku godinu</w:t>
            </w:r>
          </w:p>
        </w:tc>
      </w:tr>
      <w:tr w:rsidR="0084254D" w:rsidRPr="006A2B0F" w14:paraId="4B78F8B0" w14:textId="77777777" w:rsidTr="00B47FAC">
        <w:trPr>
          <w:gridBefore w:val="1"/>
          <w:wBefore w:w="6" w:type="dxa"/>
          <w:trHeight w:val="248"/>
          <w:jc w:val="center"/>
        </w:trPr>
        <w:tc>
          <w:tcPr>
            <w:tcW w:w="485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58627848" w14:textId="77777777" w:rsidR="0084254D" w:rsidRPr="006A2B0F" w:rsidRDefault="0084254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54AD3972" w14:textId="77777777" w:rsidR="0084254D" w:rsidRPr="006A2B0F" w:rsidRDefault="008425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1481BBB5" w14:textId="77777777" w:rsidR="0084254D" w:rsidRPr="006A2B0F" w:rsidRDefault="008425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500ADACE" w14:textId="77777777" w:rsidR="0084254D" w:rsidRPr="006A2B0F" w:rsidRDefault="008425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254D" w:rsidRPr="006A2B0F" w14:paraId="7957E005" w14:textId="77777777" w:rsidTr="00B47FAC">
        <w:trPr>
          <w:gridBefore w:val="1"/>
          <w:wBefore w:w="6" w:type="dxa"/>
          <w:trHeight w:val="1232"/>
          <w:jc w:val="center"/>
        </w:trPr>
        <w:tc>
          <w:tcPr>
            <w:tcW w:w="134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vAlign w:val="center"/>
            <w:hideMark/>
          </w:tcPr>
          <w:p w14:paraId="7AE94855" w14:textId="77777777" w:rsidR="0084254D" w:rsidRPr="006A2B0F" w:rsidRDefault="0084254D">
            <w:pPr>
              <w:spacing w:after="3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Razdjel 004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hideMark/>
          </w:tcPr>
          <w:p w14:paraId="6288E142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UPRAVNI ODJEL ZA GOSPODARSTVO, KOMUNALNE DJELATNOSTI I POLJOPRIVREDU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vAlign w:val="center"/>
            <w:hideMark/>
          </w:tcPr>
          <w:p w14:paraId="38368EE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894.011,00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vAlign w:val="center"/>
            <w:hideMark/>
          </w:tcPr>
          <w:p w14:paraId="2014D2F1" w14:textId="77777777" w:rsidR="0084254D" w:rsidRPr="006A2B0F" w:rsidRDefault="0084254D">
            <w:pPr>
              <w:ind w:right="-3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720.666,94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vAlign w:val="center"/>
            <w:hideMark/>
          </w:tcPr>
          <w:p w14:paraId="59ED22AB" w14:textId="77777777" w:rsidR="0084254D" w:rsidRPr="006A2B0F" w:rsidRDefault="0084254D">
            <w:pPr>
              <w:ind w:right="-2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80,61</w:t>
            </w:r>
          </w:p>
        </w:tc>
      </w:tr>
      <w:tr w:rsidR="0084254D" w:rsidRPr="006A2B0F" w14:paraId="771A4B81" w14:textId="77777777" w:rsidTr="00B47FAC">
        <w:trPr>
          <w:gridBefore w:val="1"/>
          <w:wBefore w:w="6" w:type="dxa"/>
          <w:trHeight w:val="283"/>
          <w:jc w:val="center"/>
        </w:trPr>
        <w:tc>
          <w:tcPr>
            <w:tcW w:w="134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333FF"/>
            <w:hideMark/>
          </w:tcPr>
          <w:p w14:paraId="3B3A2138" w14:textId="77777777" w:rsidR="0084254D" w:rsidRPr="006A2B0F" w:rsidRDefault="0084254D">
            <w:pPr>
              <w:tabs>
                <w:tab w:val="center" w:pos="1584"/>
              </w:tabs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Glava 00403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333FF"/>
            <w:vAlign w:val="center"/>
            <w:hideMark/>
          </w:tcPr>
          <w:p w14:paraId="40192F7F" w14:textId="77777777" w:rsidR="0084254D" w:rsidRPr="006A2B0F" w:rsidRDefault="0084254D">
            <w:pPr>
              <w:tabs>
                <w:tab w:val="center" w:pos="1584"/>
              </w:tabs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PORA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333FF"/>
            <w:vAlign w:val="center"/>
            <w:hideMark/>
          </w:tcPr>
          <w:p w14:paraId="213FDFEC" w14:textId="77777777" w:rsidR="0084254D" w:rsidRPr="006A2B0F" w:rsidRDefault="0084254D">
            <w:pPr>
              <w:ind w:right="-24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894.011,00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333FF"/>
            <w:vAlign w:val="center"/>
            <w:hideMark/>
          </w:tcPr>
          <w:p w14:paraId="2A7E30D6" w14:textId="77777777" w:rsidR="0084254D" w:rsidRPr="006A2B0F" w:rsidRDefault="0084254D">
            <w:pPr>
              <w:ind w:right="-3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720.666,94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333FF"/>
            <w:vAlign w:val="center"/>
            <w:hideMark/>
          </w:tcPr>
          <w:p w14:paraId="46243BE3" w14:textId="77777777" w:rsidR="0084254D" w:rsidRPr="006A2B0F" w:rsidRDefault="0084254D">
            <w:pPr>
              <w:ind w:right="-2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80,61</w:t>
            </w:r>
          </w:p>
        </w:tc>
      </w:tr>
      <w:tr w:rsidR="0084254D" w:rsidRPr="006A2B0F" w14:paraId="01099FE6" w14:textId="77777777" w:rsidTr="00B47FAC">
        <w:trPr>
          <w:gridBefore w:val="1"/>
          <w:wBefore w:w="6" w:type="dxa"/>
          <w:trHeight w:val="849"/>
          <w:jc w:val="center"/>
        </w:trPr>
        <w:tc>
          <w:tcPr>
            <w:tcW w:w="134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6A6FF"/>
            <w:vAlign w:val="center"/>
            <w:hideMark/>
          </w:tcPr>
          <w:p w14:paraId="46CF7E1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6A6FF"/>
            <w:hideMark/>
          </w:tcPr>
          <w:p w14:paraId="2125E7E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1013 STRATEŠKO PLANIRANJE, REGIONALNI I RURALNI RAZVOJ TE POTICANJE PODUZETNIŠTVA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6A6FF"/>
            <w:vAlign w:val="center"/>
            <w:hideMark/>
          </w:tcPr>
          <w:p w14:paraId="463DE900" w14:textId="77777777" w:rsidR="0084254D" w:rsidRPr="006A2B0F" w:rsidRDefault="0084254D">
            <w:pPr>
              <w:ind w:right="-2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894.011,00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6A6FF"/>
            <w:vAlign w:val="center"/>
            <w:hideMark/>
          </w:tcPr>
          <w:p w14:paraId="5020704D" w14:textId="77777777" w:rsidR="0084254D" w:rsidRPr="006A2B0F" w:rsidRDefault="0084254D">
            <w:pPr>
              <w:ind w:right="-3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720.666,94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6A6FF"/>
            <w:vAlign w:val="center"/>
            <w:hideMark/>
          </w:tcPr>
          <w:p w14:paraId="078128DF" w14:textId="77777777" w:rsidR="0084254D" w:rsidRPr="006A2B0F" w:rsidRDefault="0084254D">
            <w:pPr>
              <w:ind w:right="-2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80,61</w:t>
            </w:r>
          </w:p>
        </w:tc>
      </w:tr>
      <w:tr w:rsidR="0084254D" w:rsidRPr="006A2B0F" w14:paraId="6174BBE2" w14:textId="77777777" w:rsidTr="00B47FAC">
        <w:trPr>
          <w:gridBefore w:val="1"/>
          <w:wBefore w:w="6" w:type="dxa"/>
          <w:trHeight w:val="566"/>
          <w:jc w:val="center"/>
        </w:trPr>
        <w:tc>
          <w:tcPr>
            <w:tcW w:w="134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vAlign w:val="center"/>
            <w:hideMark/>
          </w:tcPr>
          <w:p w14:paraId="6947E67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Kapitalni 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hideMark/>
          </w:tcPr>
          <w:p w14:paraId="066127A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K100014 NABAVA OPREME ZA RAZVOJNU AGENCIJU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vAlign w:val="center"/>
            <w:hideMark/>
          </w:tcPr>
          <w:p w14:paraId="583A9DA9" w14:textId="77777777" w:rsidR="0084254D" w:rsidRPr="006A2B0F" w:rsidRDefault="0084254D">
            <w:pPr>
              <w:ind w:right="-2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vAlign w:val="center"/>
            <w:hideMark/>
          </w:tcPr>
          <w:p w14:paraId="5BBF497D" w14:textId="77777777" w:rsidR="0084254D" w:rsidRPr="006A2B0F" w:rsidRDefault="0084254D">
            <w:pPr>
              <w:ind w:right="-3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vAlign w:val="center"/>
            <w:hideMark/>
          </w:tcPr>
          <w:p w14:paraId="54732C3B" w14:textId="77777777" w:rsidR="0084254D" w:rsidRPr="006A2B0F" w:rsidRDefault="0084254D">
            <w:pPr>
              <w:ind w:right="-2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61A4F256" w14:textId="77777777" w:rsidTr="00B47FAC">
        <w:trPr>
          <w:gridBefore w:val="1"/>
          <w:wBefore w:w="6" w:type="dxa"/>
          <w:trHeight w:val="789"/>
          <w:jc w:val="center"/>
        </w:trPr>
        <w:tc>
          <w:tcPr>
            <w:tcW w:w="134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vAlign w:val="center"/>
            <w:hideMark/>
          </w:tcPr>
          <w:p w14:paraId="5658AEE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hideMark/>
          </w:tcPr>
          <w:p w14:paraId="2339EF8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AGENCIJA KOPRIVNIČKO- </w:t>
            </w:r>
          </w:p>
          <w:p w14:paraId="00A6658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vAlign w:val="center"/>
            <w:hideMark/>
          </w:tcPr>
          <w:p w14:paraId="0A90FBCE" w14:textId="77777777" w:rsidR="0084254D" w:rsidRPr="006A2B0F" w:rsidRDefault="0084254D">
            <w:pPr>
              <w:ind w:right="-2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vAlign w:val="center"/>
            <w:hideMark/>
          </w:tcPr>
          <w:p w14:paraId="7718BD90" w14:textId="77777777" w:rsidR="0084254D" w:rsidRPr="006A2B0F" w:rsidRDefault="0084254D">
            <w:pPr>
              <w:ind w:right="-3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vAlign w:val="center"/>
            <w:hideMark/>
          </w:tcPr>
          <w:p w14:paraId="0B2D3DB5" w14:textId="77777777" w:rsidR="0084254D" w:rsidRPr="006A2B0F" w:rsidRDefault="0084254D">
            <w:pPr>
              <w:ind w:right="-2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59D385C4" w14:textId="77777777" w:rsidTr="00B47FAC">
        <w:trPr>
          <w:gridBefore w:val="1"/>
          <w:wBefore w:w="6" w:type="dxa"/>
          <w:trHeight w:val="383"/>
          <w:jc w:val="center"/>
        </w:trPr>
        <w:tc>
          <w:tcPr>
            <w:tcW w:w="134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FF1C62E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494C8CA1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18BBE5FD" w14:textId="77777777" w:rsidR="0084254D" w:rsidRPr="006A2B0F" w:rsidRDefault="0084254D">
            <w:pPr>
              <w:ind w:right="-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7B72EB28" w14:textId="77777777" w:rsidR="0084254D" w:rsidRPr="006A2B0F" w:rsidRDefault="0084254D">
            <w:pPr>
              <w:ind w:right="-3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02B44BFB" w14:textId="77777777" w:rsidR="0084254D" w:rsidRPr="006A2B0F" w:rsidRDefault="0084254D">
            <w:pPr>
              <w:ind w:right="-2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213191A5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2BFA92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DC89B0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3EF2F7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9FB866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15FBF1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2F30377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AD2FB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0BA7D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31C2D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20C514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96D9D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5F021BEB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7CDB88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A2E3358" w14:textId="77777777" w:rsidR="0084254D" w:rsidRPr="006A2B0F" w:rsidRDefault="0084254D">
            <w:pPr>
              <w:ind w:right="2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974984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0399F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A356F7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53E3DB96" w14:textId="77777777" w:rsidTr="00B47FAC">
        <w:trPr>
          <w:gridBefore w:val="2"/>
          <w:wBefore w:w="34" w:type="dxa"/>
          <w:trHeight w:val="301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EF5F197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C422B48" w14:textId="77777777" w:rsidR="0084254D" w:rsidRPr="006A2B0F" w:rsidRDefault="0084254D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836C0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9D53B8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458F60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4254D" w:rsidRPr="006A2B0F" w14:paraId="5D13ED61" w14:textId="77777777" w:rsidTr="00B47FAC">
        <w:trPr>
          <w:gridBefore w:val="2"/>
          <w:wBefore w:w="34" w:type="dxa"/>
          <w:trHeight w:val="235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76BF04B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2EE4F2E" w14:textId="77777777" w:rsidR="0084254D" w:rsidRPr="006A2B0F" w:rsidRDefault="0084254D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B605AB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84475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B1A50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4254D" w:rsidRPr="006A2B0F" w14:paraId="1DE56F77" w14:textId="77777777" w:rsidTr="00B47FAC">
        <w:trPr>
          <w:gridBefore w:val="2"/>
          <w:wBefore w:w="34" w:type="dxa"/>
          <w:trHeight w:val="1132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86902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Aktivnost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hideMark/>
          </w:tcPr>
          <w:p w14:paraId="25553A4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 xml:space="preserve">A100025 STRATEŠKO </w:t>
            </w:r>
          </w:p>
          <w:p w14:paraId="51A99746" w14:textId="2C057029" w:rsidR="0084254D" w:rsidRPr="006A2B0F" w:rsidRDefault="0084254D">
            <w:pPr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PLANIRANJE, REGIONALNI I RURALNI RAZVOJ TE POTICANJE</w:t>
            </w:r>
            <w:r w:rsidR="00E05D73" w:rsidRPr="006A2B0F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PODUZETNIŠTVA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21D3E5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168.238,00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6ED1DE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155.781,44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1A18E8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92,60</w:t>
            </w:r>
          </w:p>
        </w:tc>
      </w:tr>
      <w:tr w:rsidR="0084254D" w:rsidRPr="006A2B0F" w14:paraId="527816E1" w14:textId="77777777" w:rsidTr="00B47FAC">
        <w:trPr>
          <w:gridBefore w:val="2"/>
          <w:wBefore w:w="34" w:type="dxa"/>
          <w:trHeight w:val="789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F1F85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hideMark/>
          </w:tcPr>
          <w:p w14:paraId="120BB139" w14:textId="78559185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AGENCIJA KOPRIVNIČKO - </w:t>
            </w:r>
          </w:p>
          <w:p w14:paraId="659A9B9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74FDF6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168.238,00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3B1DD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155.781,44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CF447E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92,60</w:t>
            </w:r>
          </w:p>
        </w:tc>
      </w:tr>
      <w:tr w:rsidR="0084254D" w:rsidRPr="006A2B0F" w14:paraId="00F92277" w14:textId="77777777" w:rsidTr="00B47FAC">
        <w:trPr>
          <w:gridBefore w:val="2"/>
          <w:wBefore w:w="34" w:type="dxa"/>
          <w:trHeight w:val="303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</w:tcPr>
          <w:p w14:paraId="64129006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2C31AA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57A076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167.478,00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57B8AB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155.781,44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F851EB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93,02</w:t>
            </w:r>
          </w:p>
        </w:tc>
      </w:tr>
      <w:tr w:rsidR="0084254D" w:rsidRPr="006A2B0F" w14:paraId="23DFB69D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70ABCE9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0A22AE1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F7D5ED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167.478,00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ABC6E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155.781,44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F973E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93,02</w:t>
            </w:r>
          </w:p>
        </w:tc>
      </w:tr>
      <w:tr w:rsidR="0084254D" w:rsidRPr="006A2B0F" w14:paraId="6A7F5A6F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586D752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7A3379D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23D6C4F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167.478,00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014EFBB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155.781,44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4E1A857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93,02</w:t>
            </w:r>
          </w:p>
        </w:tc>
      </w:tr>
      <w:tr w:rsidR="0084254D" w:rsidRPr="006A2B0F" w14:paraId="3C87A0B5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32BD33B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1F75895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7B2369C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112.946,00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189D216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109.269,38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hideMark/>
          </w:tcPr>
          <w:p w14:paraId="5F18267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96,74</w:t>
            </w:r>
          </w:p>
        </w:tc>
      </w:tr>
      <w:tr w:rsidR="0084254D" w:rsidRPr="006A2B0F" w14:paraId="3E02C2A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2D098F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CD48990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0AE589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63.450,00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B8A704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62.853,91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0132B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99,06</w:t>
            </w:r>
          </w:p>
        </w:tc>
      </w:tr>
      <w:tr w:rsidR="0084254D" w:rsidRPr="006A2B0F" w14:paraId="78CE6704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AF1B751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125891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8DCB11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63.450,00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82369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62.853,91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F750F0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99,06</w:t>
            </w:r>
          </w:p>
        </w:tc>
      </w:tr>
      <w:tr w:rsidR="0084254D" w:rsidRPr="006A2B0F" w14:paraId="784DF925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152FED0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8063CDF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259D92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38.971,00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BED8CF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36.086,82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345655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92,60</w:t>
            </w:r>
          </w:p>
        </w:tc>
      </w:tr>
      <w:tr w:rsidR="0084254D" w:rsidRPr="006A2B0F" w14:paraId="01FC797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25BFD45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E103194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4B021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38.971,00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9BE1A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36.086,82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D2BBCF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92,60</w:t>
            </w:r>
          </w:p>
        </w:tc>
      </w:tr>
      <w:tr w:rsidR="0084254D" w:rsidRPr="006A2B0F" w14:paraId="1C34FAD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CD87A0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D8EF73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D66F5F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10.525,00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1F6700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10.328,65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635777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98,13</w:t>
            </w:r>
          </w:p>
        </w:tc>
      </w:tr>
      <w:tr w:rsidR="0084254D" w:rsidRPr="006A2B0F" w14:paraId="10AEA69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88693E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3A4685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B00B5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10.525,00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9B1180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10.328,65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9F46AB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98,13</w:t>
            </w:r>
          </w:p>
        </w:tc>
      </w:tr>
      <w:tr w:rsidR="0084254D" w:rsidRPr="006A2B0F" w14:paraId="5FC772BF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73A3DA9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05C3C76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D8839F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54.532,00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24439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46.512,06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420505" w14:textId="2F07BFB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85,</w:t>
            </w:r>
            <w:r w:rsidR="00CB4E30"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4254D" w:rsidRPr="006A2B0F" w14:paraId="62368183" w14:textId="77777777" w:rsidTr="00B47FAC">
        <w:trPr>
          <w:gridBefore w:val="3"/>
          <w:wBefore w:w="88" w:type="dxa"/>
          <w:trHeight w:val="238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189F2B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431FEF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D0F66C8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17.945,00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2E6E135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16.059,66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E5A8895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89,49</w:t>
            </w:r>
          </w:p>
        </w:tc>
      </w:tr>
      <w:tr w:rsidR="0084254D" w:rsidRPr="006A2B0F" w14:paraId="65B8434C" w14:textId="77777777" w:rsidTr="00B47FAC">
        <w:trPr>
          <w:gridBefore w:val="3"/>
          <w:wBefore w:w="88" w:type="dxa"/>
          <w:trHeight w:val="238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013601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259787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D6E6217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2.570,00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EB5DA6F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1.460,19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1899225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56,82</w:t>
            </w:r>
          </w:p>
        </w:tc>
      </w:tr>
      <w:tr w:rsidR="0084254D" w:rsidRPr="006A2B0F" w14:paraId="5B5D1572" w14:textId="77777777" w:rsidTr="00B47FAC">
        <w:trPr>
          <w:gridBefore w:val="3"/>
          <w:wBefore w:w="88" w:type="dxa"/>
          <w:trHeight w:val="456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8FA9AB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10F4695" w14:textId="77777777" w:rsidR="0084254D" w:rsidRPr="006A2B0F" w:rsidRDefault="0084254D">
            <w:pPr>
              <w:ind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213C0FB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15.115,00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ADF4AF3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14.599,47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34B5086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96,59</w:t>
            </w:r>
          </w:p>
        </w:tc>
      </w:tr>
      <w:tr w:rsidR="0084254D" w:rsidRPr="006A2B0F" w14:paraId="7C9AA27F" w14:textId="77777777" w:rsidTr="00B47FAC">
        <w:trPr>
          <w:gridBefore w:val="3"/>
          <w:wBefore w:w="88" w:type="dxa"/>
          <w:trHeight w:val="456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D0C9E6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82626D9" w14:textId="77777777" w:rsidR="0084254D" w:rsidRPr="006A2B0F" w:rsidRDefault="0084254D">
            <w:pPr>
              <w:ind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AACFA3F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9090B32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AFF3B82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4254D" w:rsidRPr="006A2B0F" w14:paraId="28046773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358CBC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08EBC5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EDCBCD5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4.160,00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545260D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3.236,10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8D17F10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77,79</w:t>
            </w:r>
          </w:p>
        </w:tc>
      </w:tr>
      <w:tr w:rsidR="0084254D" w:rsidRPr="006A2B0F" w14:paraId="3E5B7B6F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C016A1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D4EC5F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20EADD8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82FE1A8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972,03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FF0A7A0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58,56</w:t>
            </w:r>
          </w:p>
        </w:tc>
      </w:tr>
      <w:tr w:rsidR="0084254D" w:rsidRPr="006A2B0F" w14:paraId="21C89BC5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69B258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8FAB5A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Sitni inventar i auto gume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517C82B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C67072A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2.264,07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78AC586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90,56</w:t>
            </w:r>
          </w:p>
        </w:tc>
      </w:tr>
      <w:tr w:rsidR="0084254D" w:rsidRPr="006A2B0F" w14:paraId="5DAB8676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80C923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552CE1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4B8BDA4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19.095,00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E501764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16.407,51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19E36DC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85,93</w:t>
            </w:r>
          </w:p>
        </w:tc>
      </w:tr>
      <w:tr w:rsidR="0084254D" w:rsidRPr="006A2B0F" w14:paraId="4F0A56E7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852567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9CC589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F6F83A1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4198B1C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2FA7FEC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11,36</w:t>
            </w:r>
          </w:p>
        </w:tc>
      </w:tr>
      <w:tr w:rsidR="0084254D" w:rsidRPr="006A2B0F" w14:paraId="70D3891B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AB4B16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106ECA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1B17E89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5.030,00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1502CA0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4.695,68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BCCF4AE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93,35</w:t>
            </w:r>
          </w:p>
        </w:tc>
      </w:tr>
      <w:tr w:rsidR="0084254D" w:rsidRPr="006A2B0F" w14:paraId="4912EC63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E3FBF1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E9330A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FBF0370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8.220,00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DF3A824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7.381,25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7865FB9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89,80</w:t>
            </w:r>
          </w:p>
        </w:tc>
      </w:tr>
      <w:tr w:rsidR="0084254D" w:rsidRPr="006A2B0F" w14:paraId="755753A1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60363E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B1DBD1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EEBD92C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3.600,00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8F74147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3.583,56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09027E5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99,54</w:t>
            </w:r>
          </w:p>
        </w:tc>
      </w:tr>
      <w:tr w:rsidR="0084254D" w:rsidRPr="006A2B0F" w14:paraId="55CA6509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23046B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115C4C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B2BE303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1.880,00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DB0AB35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705,54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DA4C947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37,53</w:t>
            </w:r>
          </w:p>
        </w:tc>
      </w:tr>
      <w:tr w:rsidR="0084254D" w:rsidRPr="006A2B0F" w14:paraId="23E2ED0F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092E59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E7F554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5F698AB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13.332,00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04BD434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10.808,79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818A0F0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81,07</w:t>
            </w:r>
          </w:p>
        </w:tc>
      </w:tr>
      <w:tr w:rsidR="0084254D" w:rsidRPr="006A2B0F" w14:paraId="622979BE" w14:textId="77777777" w:rsidTr="00B47FAC">
        <w:trPr>
          <w:gridBefore w:val="3"/>
          <w:wBefore w:w="88" w:type="dxa"/>
          <w:trHeight w:val="456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3AD121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19B0A2A" w14:textId="77777777" w:rsidR="0084254D" w:rsidRPr="006A2B0F" w:rsidRDefault="0084254D">
            <w:pPr>
              <w:ind w:right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za rad predstavničkih i izvršnih tijela, povjerenstava i slično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3E1CDFE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3.620,00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8A84FDC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3.227,87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C0C6271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89,17</w:t>
            </w:r>
          </w:p>
        </w:tc>
      </w:tr>
      <w:tr w:rsidR="0084254D" w:rsidRPr="006A2B0F" w14:paraId="1CFC801B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C304F0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455AE8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Premije osiguranja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615D80C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3.042,00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F0E1E1F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2.809,29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5BA67C54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92,35</w:t>
            </w:r>
          </w:p>
        </w:tc>
      </w:tr>
      <w:tr w:rsidR="0084254D" w:rsidRPr="006A2B0F" w14:paraId="4ED9A4DB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DCB3A4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8870DD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02B6B85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4.500,00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CC88270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2.868,92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340FA92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63,75</w:t>
            </w:r>
          </w:p>
        </w:tc>
      </w:tr>
      <w:tr w:rsidR="0084254D" w:rsidRPr="006A2B0F" w14:paraId="785DCBCB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E963C0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3295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3489A38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F5404E2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1.540,00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754C0F77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1.384,43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1FA3F5F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89,90</w:t>
            </w:r>
          </w:p>
        </w:tc>
      </w:tr>
      <w:tr w:rsidR="0084254D" w:rsidRPr="006A2B0F" w14:paraId="339641ED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4160120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D9F601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0636473F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B57FD26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518,28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9977CAA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82,27</w:t>
            </w:r>
          </w:p>
        </w:tc>
      </w:tr>
      <w:tr w:rsidR="0084254D" w:rsidRPr="006A2B0F" w14:paraId="15927106" w14:textId="77777777" w:rsidTr="00B47FAC">
        <w:trPr>
          <w:gridBefore w:val="3"/>
          <w:wBefore w:w="88" w:type="dxa"/>
          <w:trHeight w:val="230"/>
          <w:jc w:val="center"/>
        </w:trPr>
        <w:tc>
          <w:tcPr>
            <w:tcW w:w="12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tcMar>
              <w:top w:w="32" w:type="dxa"/>
              <w:left w:w="0" w:type="dxa"/>
              <w:bottom w:w="0" w:type="dxa"/>
              <w:right w:w="7" w:type="dxa"/>
            </w:tcMar>
            <w:vAlign w:val="center"/>
          </w:tcPr>
          <w:p w14:paraId="266BF57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6B4C44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 VLASTITI PRIHODI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2FDB914B" w14:textId="77777777" w:rsidR="0084254D" w:rsidRPr="006A2B0F" w:rsidRDefault="0084254D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1561C37D" w14:textId="77777777" w:rsidR="0084254D" w:rsidRPr="006A2B0F" w:rsidRDefault="0084254D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tcMar>
              <w:top w:w="32" w:type="dxa"/>
              <w:left w:w="0" w:type="dxa"/>
              <w:bottom w:w="0" w:type="dxa"/>
              <w:right w:w="7" w:type="dxa"/>
            </w:tcMar>
            <w:vAlign w:val="center"/>
            <w:hideMark/>
          </w:tcPr>
          <w:p w14:paraId="629552B2" w14:textId="77777777" w:rsidR="0084254D" w:rsidRPr="006A2B0F" w:rsidRDefault="0084254D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70B877E0" w14:textId="77777777" w:rsidTr="00B47FAC">
        <w:trPr>
          <w:trHeight w:val="476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E06BE6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53C383B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3.1. VLASTITI PRIHODI - PRORAČUNSKI KORISNICI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EA08E20" w14:textId="77777777" w:rsidR="0084254D" w:rsidRPr="006A2B0F" w:rsidRDefault="0084254D">
            <w:pPr>
              <w:ind w:right="-3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40790D29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7EFAA5D2" w14:textId="77777777" w:rsidR="0084254D" w:rsidRPr="006A2B0F" w:rsidRDefault="0084254D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5BE53DAF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6FDBBFB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5C55B1C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5E912BD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24B4161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C17E628" w14:textId="77777777" w:rsidR="0084254D" w:rsidRPr="006A2B0F" w:rsidRDefault="0084254D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2D63BFCD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47C596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317EEE2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6D8251C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3B887824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7D75DB1C" w14:textId="77777777" w:rsidR="0084254D" w:rsidRPr="006A2B0F" w:rsidRDefault="0084254D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16A7AD31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66C1F469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39CA5149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19D420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8F9C3BB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0D6AC96" w14:textId="77777777" w:rsidR="0084254D" w:rsidRPr="006A2B0F" w:rsidRDefault="0084254D">
            <w:pPr>
              <w:ind w:right="-4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4254D" w:rsidRPr="006A2B0F" w14:paraId="36A0681B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39ABFB3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5D0E1E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976C62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C9D0709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F23AC94" w14:textId="77777777" w:rsidR="0084254D" w:rsidRPr="006A2B0F" w:rsidRDefault="0084254D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4254D" w:rsidRPr="006A2B0F" w14:paraId="5D3559B2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</w:tcPr>
          <w:p w14:paraId="42C6B27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5BB882B3" w14:textId="41524E6E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 PRIHODI OD PRODAJE IMOVINE I NAKNADE S NASLOVA OSIGURANJA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507AEB3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69E5CD2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545BB4D6" w14:textId="77777777" w:rsidR="0084254D" w:rsidRPr="006A2B0F" w:rsidRDefault="0084254D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130B32A7" w14:textId="77777777" w:rsidTr="00B47FAC">
        <w:trPr>
          <w:trHeight w:val="476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hideMark/>
          </w:tcPr>
          <w:p w14:paraId="62BEE75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hideMark/>
          </w:tcPr>
          <w:p w14:paraId="50BDE11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7.3. PRIHODI OD NAKNADE ŠTETA S OSNOVA OSIGURANJA-PK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F717CE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5FD0CD28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685B5650" w14:textId="77777777" w:rsidR="0084254D" w:rsidRPr="006A2B0F" w:rsidRDefault="0084254D">
            <w:pPr>
              <w:tabs>
                <w:tab w:val="left" w:pos="1651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5814C01F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FA2E04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681B7D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9767C9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1974DC8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448FB4B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4D6AB733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F1B57D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47052F7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CF9CA3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5CF2A06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778BE8B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54D" w:rsidRPr="006A2B0F" w14:paraId="11D992CF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20304C2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8DA492A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9359D1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68D72941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2156968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4254D" w:rsidRPr="006A2B0F" w14:paraId="1DBF402A" w14:textId="77777777" w:rsidTr="00B47FAC">
        <w:trPr>
          <w:trHeight w:val="238"/>
          <w:jc w:val="center"/>
        </w:trPr>
        <w:tc>
          <w:tcPr>
            <w:tcW w:w="134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62E1D9E7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0D71506F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4F2759D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33AD4FD6" w14:textId="77777777" w:rsidR="0084254D" w:rsidRPr="006A2B0F" w:rsidRDefault="0084254D">
            <w:pPr>
              <w:ind w:right="-4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14:paraId="1ADCA55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4254D" w:rsidRPr="006A2B0F" w14:paraId="2DFBF5B6" w14:textId="77777777" w:rsidTr="00B47FAC">
        <w:trPr>
          <w:gridBefore w:val="2"/>
          <w:wBefore w:w="34" w:type="dxa"/>
          <w:trHeight w:val="283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0D4B0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 xml:space="preserve">Kapitalni 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203EEC3" w14:textId="0BB86AE7" w:rsidR="0084254D" w:rsidRPr="006A2B0F" w:rsidRDefault="0084254D">
            <w:pPr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 xml:space="preserve">K100099 EU PROJEKTI </w:t>
            </w:r>
            <w:r w:rsidR="00693891" w:rsidRPr="006A2B0F">
              <w:rPr>
                <w:rFonts w:ascii="Times New Roman" w:eastAsia="Arial" w:hAnsi="Times New Roman" w:cs="Times New Roman"/>
                <w:b/>
                <w:sz w:val="24"/>
              </w:rPr>
              <w:t>–</w:t>
            </w: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 xml:space="preserve"> PORA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BEB708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 xml:space="preserve"> 17.930,00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249B68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13.482,70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0EC22B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75,20</w:t>
            </w:r>
          </w:p>
        </w:tc>
      </w:tr>
      <w:tr w:rsidR="0084254D" w:rsidRPr="006A2B0F" w14:paraId="0F8A3030" w14:textId="77777777" w:rsidTr="00B47FAC">
        <w:trPr>
          <w:gridBefore w:val="2"/>
          <w:wBefore w:w="34" w:type="dxa"/>
          <w:trHeight w:val="789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60E021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272DDF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</w:t>
            </w:r>
          </w:p>
          <w:p w14:paraId="1BB9E34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AGENCIJA KOPRIVNIČKO - </w:t>
            </w:r>
          </w:p>
          <w:p w14:paraId="455134D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652DB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17.930,00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F96B65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13.482,70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DF108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75,20</w:t>
            </w:r>
          </w:p>
        </w:tc>
      </w:tr>
      <w:tr w:rsidR="0084254D" w:rsidRPr="006A2B0F" w14:paraId="5A68C76F" w14:textId="77777777" w:rsidTr="00B47FAC">
        <w:trPr>
          <w:gridBefore w:val="2"/>
          <w:wBefore w:w="34" w:type="dxa"/>
          <w:trHeight w:val="23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</w:tcPr>
          <w:p w14:paraId="436761CD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2" w:name="_Hlk157937117"/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01FD06F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F8C1FC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2.690,00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AC972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2.022,40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12E5B1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75,18</w:t>
            </w:r>
          </w:p>
        </w:tc>
      </w:tr>
      <w:tr w:rsidR="0084254D" w:rsidRPr="006A2B0F" w14:paraId="568FDDCB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0B7DDD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3" w:name="_Hlk157937040"/>
            <w:bookmarkEnd w:id="2"/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8C760B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3D743B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2.690,00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44DE85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2.022,40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D7F2F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75,18</w:t>
            </w:r>
          </w:p>
        </w:tc>
      </w:tr>
      <w:bookmarkEnd w:id="3"/>
      <w:tr w:rsidR="0084254D" w:rsidRPr="006A2B0F" w14:paraId="72BDF064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83C914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9E5D8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47622B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2.690,00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1E7BE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2.022,40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843A5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75,18</w:t>
            </w:r>
          </w:p>
        </w:tc>
      </w:tr>
      <w:tr w:rsidR="0084254D" w:rsidRPr="006A2B0F" w14:paraId="548CEF15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BBC2AA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BD527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11543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D838E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0C43A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78,43</w:t>
            </w:r>
          </w:p>
        </w:tc>
      </w:tr>
      <w:tr w:rsidR="0084254D" w:rsidRPr="006A2B0F" w14:paraId="35C1EE3B" w14:textId="77777777" w:rsidTr="00B47FAC">
        <w:trPr>
          <w:gridBefore w:val="2"/>
          <w:wBefore w:w="34" w:type="dxa"/>
          <w:trHeight w:val="251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DBCCB0D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EC68412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Nematerijalna imovina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0C571E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B013D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156,86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F7213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78,43</w:t>
            </w:r>
          </w:p>
        </w:tc>
      </w:tr>
      <w:tr w:rsidR="0084254D" w:rsidRPr="006A2B0F" w14:paraId="31A5C1B1" w14:textId="77777777" w:rsidTr="00B47FAC">
        <w:trPr>
          <w:gridBefore w:val="2"/>
          <w:wBefore w:w="34" w:type="dxa"/>
          <w:trHeight w:val="227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DD3090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F9CEA11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Licence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CC5B6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7DC48D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156,86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E3AE6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78,43</w:t>
            </w:r>
          </w:p>
        </w:tc>
      </w:tr>
      <w:tr w:rsidR="0084254D" w:rsidRPr="006A2B0F" w14:paraId="1EB20EEB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045FD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5DDB251" w14:textId="77777777" w:rsidR="0084254D" w:rsidRPr="006A2B0F" w:rsidRDefault="0084254D">
            <w:pPr>
              <w:ind w:right="2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50EA6E4" w14:textId="0E172022" w:rsidR="0084254D" w:rsidRPr="006A2B0F" w:rsidRDefault="0069389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2.490,00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E254E05" w14:textId="7829647A" w:rsidR="0084254D" w:rsidRPr="006A2B0F" w:rsidRDefault="0069389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1.865,54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2F03CF" w14:textId="7C877496" w:rsidR="0084254D" w:rsidRPr="006A2B0F" w:rsidRDefault="0069389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74,92</w:t>
            </w:r>
          </w:p>
        </w:tc>
      </w:tr>
      <w:tr w:rsidR="0084254D" w:rsidRPr="006A2B0F" w14:paraId="2D376E01" w14:textId="77777777" w:rsidTr="00B47FAC">
        <w:trPr>
          <w:gridBefore w:val="2"/>
          <w:wBefore w:w="34" w:type="dxa"/>
          <w:trHeight w:val="192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FF3045F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8FB706E" w14:textId="77777777" w:rsidR="0084254D" w:rsidRPr="006A2B0F" w:rsidRDefault="0084254D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114DD1E" w14:textId="6F8DE918" w:rsidR="0084254D" w:rsidRPr="006A2B0F" w:rsidRDefault="0069389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2.490,00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873815F" w14:textId="6FE7D067" w:rsidR="0084254D" w:rsidRPr="006A2B0F" w:rsidRDefault="0069389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1.865,54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236D93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74,92</w:t>
            </w:r>
          </w:p>
        </w:tc>
      </w:tr>
      <w:tr w:rsidR="0084254D" w:rsidRPr="006A2B0F" w14:paraId="6EC38B6F" w14:textId="77777777" w:rsidTr="00B47FAC">
        <w:trPr>
          <w:gridBefore w:val="2"/>
          <w:wBefore w:w="34" w:type="dxa"/>
          <w:trHeight w:val="277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283F0D8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ABB73CF" w14:textId="77777777" w:rsidR="0084254D" w:rsidRPr="006A2B0F" w:rsidRDefault="0084254D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456AC8E" w14:textId="293BFD5B" w:rsidR="0084254D" w:rsidRPr="006A2B0F" w:rsidRDefault="00693891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2.490,00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C26B40D" w14:textId="120E429C" w:rsidR="0084254D" w:rsidRPr="006A2B0F" w:rsidRDefault="0069389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1.865,54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D6493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74,92</w:t>
            </w:r>
          </w:p>
        </w:tc>
      </w:tr>
      <w:tr w:rsidR="00693891" w:rsidRPr="006A2B0F" w14:paraId="77D36690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6"/>
        </w:trPr>
        <w:tc>
          <w:tcPr>
            <w:tcW w:w="1314" w:type="dxa"/>
            <w:gridSpan w:val="2"/>
          </w:tcPr>
          <w:p w14:paraId="431B340A" w14:textId="77777777" w:rsidR="00693891" w:rsidRPr="006A2B0F" w:rsidRDefault="00693891" w:rsidP="001D46D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hideMark/>
          </w:tcPr>
          <w:p w14:paraId="05A84126" w14:textId="5936F09C" w:rsidR="00693891" w:rsidRPr="006A2B0F" w:rsidRDefault="00693891" w:rsidP="001D46D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 POMOĆI</w:t>
            </w:r>
          </w:p>
        </w:tc>
        <w:tc>
          <w:tcPr>
            <w:tcW w:w="2107" w:type="dxa"/>
            <w:hideMark/>
          </w:tcPr>
          <w:p w14:paraId="22D7F64B" w14:textId="6CB2626C" w:rsidR="00693891" w:rsidRPr="006A2B0F" w:rsidRDefault="00693891" w:rsidP="00693891">
            <w:pPr>
              <w:ind w:right="3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15.240,00</w:t>
            </w:r>
          </w:p>
        </w:tc>
        <w:tc>
          <w:tcPr>
            <w:tcW w:w="2243" w:type="dxa"/>
            <w:hideMark/>
          </w:tcPr>
          <w:p w14:paraId="52106A85" w14:textId="2B26DD54" w:rsidR="00693891" w:rsidRPr="006A2B0F" w:rsidRDefault="00403A61" w:rsidP="00403A6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11.460,30</w:t>
            </w:r>
          </w:p>
        </w:tc>
        <w:tc>
          <w:tcPr>
            <w:tcW w:w="1406" w:type="dxa"/>
            <w:hideMark/>
          </w:tcPr>
          <w:p w14:paraId="5AD350E6" w14:textId="3F355AC1" w:rsidR="00693891" w:rsidRPr="006A2B0F" w:rsidRDefault="00403A61" w:rsidP="00403A6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75,20</w:t>
            </w:r>
          </w:p>
        </w:tc>
      </w:tr>
      <w:tr w:rsidR="00693891" w:rsidRPr="006A2B0F" w14:paraId="35C97C9D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1999BF3" w14:textId="77777777" w:rsidR="00693891" w:rsidRPr="006A2B0F" w:rsidRDefault="00693891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D00AF97" w14:textId="3D810E5B" w:rsidR="00693891" w:rsidRPr="006A2B0F" w:rsidRDefault="00693891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5.8. SREDSTVA EU – PRORAČUNSKI KORISNICI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E5D0681" w14:textId="5C4D009A" w:rsidR="00693891" w:rsidRPr="006A2B0F" w:rsidRDefault="00693891" w:rsidP="001D46D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15.240,00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1CF43C1" w14:textId="6447D2C5" w:rsidR="00693891" w:rsidRPr="006A2B0F" w:rsidRDefault="00693891" w:rsidP="001D46D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11.460,30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670221" w14:textId="6AADEF41" w:rsidR="00693891" w:rsidRPr="006A2B0F" w:rsidRDefault="00693891" w:rsidP="001D46D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75,20</w:t>
            </w:r>
          </w:p>
        </w:tc>
      </w:tr>
      <w:tr w:rsidR="004E3AD4" w:rsidRPr="006A2B0F" w14:paraId="59D41221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8"/>
        </w:trPr>
        <w:tc>
          <w:tcPr>
            <w:tcW w:w="1314" w:type="dxa"/>
            <w:gridSpan w:val="2"/>
            <w:tcBorders>
              <w:top w:val="single" w:sz="6" w:space="0" w:color="FFFFFF" w:themeColor="background1"/>
            </w:tcBorders>
            <w:shd w:val="clear" w:color="auto" w:fill="EEEEEE"/>
            <w:hideMark/>
          </w:tcPr>
          <w:p w14:paraId="4CF4C821" w14:textId="453AD73D" w:rsidR="004E3AD4" w:rsidRPr="006A2B0F" w:rsidRDefault="004E3AD4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</w:tcBorders>
            <w:shd w:val="clear" w:color="auto" w:fill="EEEEEE"/>
            <w:hideMark/>
          </w:tcPr>
          <w:p w14:paraId="65AE6789" w14:textId="75209D74" w:rsidR="004E3AD4" w:rsidRPr="006A2B0F" w:rsidRDefault="004E3AD4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</w:tcBorders>
            <w:shd w:val="clear" w:color="auto" w:fill="EEEEEE"/>
            <w:vAlign w:val="center"/>
            <w:hideMark/>
          </w:tcPr>
          <w:p w14:paraId="6EC6F2E5" w14:textId="63E4E554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15.240,00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</w:tcBorders>
            <w:shd w:val="clear" w:color="auto" w:fill="EEEEEE"/>
            <w:vAlign w:val="center"/>
            <w:hideMark/>
          </w:tcPr>
          <w:p w14:paraId="61612C42" w14:textId="72073DCB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11.460,30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</w:tcBorders>
            <w:shd w:val="clear" w:color="auto" w:fill="EEEEEE"/>
            <w:vAlign w:val="center"/>
            <w:hideMark/>
          </w:tcPr>
          <w:p w14:paraId="67EBBD8F" w14:textId="110EAD45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75,20</w:t>
            </w:r>
          </w:p>
        </w:tc>
      </w:tr>
      <w:tr w:rsidR="00B47FAC" w:rsidRPr="006A2B0F" w14:paraId="292DB0B5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8"/>
        </w:trPr>
        <w:tc>
          <w:tcPr>
            <w:tcW w:w="1314" w:type="dxa"/>
            <w:gridSpan w:val="2"/>
            <w:shd w:val="clear" w:color="auto" w:fill="F8F8F8"/>
            <w:vAlign w:val="center"/>
            <w:hideMark/>
          </w:tcPr>
          <w:p w14:paraId="37C86D81" w14:textId="2EDB9366" w:rsidR="004E3AD4" w:rsidRPr="006A2B0F" w:rsidRDefault="004E3AD4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4" w:name="_Hlk157938164"/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16" w:type="dxa"/>
            <w:shd w:val="clear" w:color="auto" w:fill="F8F8F8"/>
            <w:hideMark/>
          </w:tcPr>
          <w:p w14:paraId="1F1DCED3" w14:textId="0DFC3DD2" w:rsidR="004E3AD4" w:rsidRPr="006A2B0F" w:rsidRDefault="004E3AD4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2107" w:type="dxa"/>
            <w:shd w:val="clear" w:color="auto" w:fill="F8F8F8"/>
            <w:vAlign w:val="center"/>
            <w:hideMark/>
          </w:tcPr>
          <w:p w14:paraId="559429C7" w14:textId="76D310E9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1.130,00</w:t>
            </w:r>
          </w:p>
        </w:tc>
        <w:tc>
          <w:tcPr>
            <w:tcW w:w="2243" w:type="dxa"/>
            <w:shd w:val="clear" w:color="auto" w:fill="F8F8F8"/>
            <w:vAlign w:val="center"/>
            <w:hideMark/>
          </w:tcPr>
          <w:p w14:paraId="301388D1" w14:textId="65D46E02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888,89</w:t>
            </w:r>
          </w:p>
        </w:tc>
        <w:tc>
          <w:tcPr>
            <w:tcW w:w="1406" w:type="dxa"/>
            <w:shd w:val="clear" w:color="auto" w:fill="F8F8F8"/>
            <w:vAlign w:val="center"/>
            <w:hideMark/>
          </w:tcPr>
          <w:p w14:paraId="78748560" w14:textId="76754379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78,66</w:t>
            </w:r>
          </w:p>
        </w:tc>
      </w:tr>
      <w:tr w:rsidR="004E3AD4" w:rsidRPr="006A2B0F" w14:paraId="41D67B32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8"/>
        </w:trPr>
        <w:tc>
          <w:tcPr>
            <w:tcW w:w="1314" w:type="dxa"/>
            <w:gridSpan w:val="2"/>
            <w:hideMark/>
          </w:tcPr>
          <w:p w14:paraId="4C65F38E" w14:textId="4D4C81DC" w:rsidR="004E3AD4" w:rsidRPr="006A2B0F" w:rsidRDefault="004E3AD4" w:rsidP="001D46D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516" w:type="dxa"/>
            <w:hideMark/>
          </w:tcPr>
          <w:p w14:paraId="7E3D613A" w14:textId="1FA370B0" w:rsidR="004E3AD4" w:rsidRPr="006A2B0F" w:rsidRDefault="004E3AD4" w:rsidP="001D46D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Nematerijalna imovina</w:t>
            </w:r>
          </w:p>
        </w:tc>
        <w:tc>
          <w:tcPr>
            <w:tcW w:w="2107" w:type="dxa"/>
            <w:hideMark/>
          </w:tcPr>
          <w:p w14:paraId="13C7FBB0" w14:textId="7A48FB26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1.130,00</w:t>
            </w:r>
          </w:p>
        </w:tc>
        <w:tc>
          <w:tcPr>
            <w:tcW w:w="2243" w:type="dxa"/>
            <w:hideMark/>
          </w:tcPr>
          <w:p w14:paraId="7A0F4E19" w14:textId="6C224397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888,89</w:t>
            </w:r>
          </w:p>
        </w:tc>
        <w:tc>
          <w:tcPr>
            <w:tcW w:w="1406" w:type="dxa"/>
            <w:hideMark/>
          </w:tcPr>
          <w:p w14:paraId="38341A01" w14:textId="618C2627" w:rsidR="004E3AD4" w:rsidRPr="006A2B0F" w:rsidRDefault="004E3AD4" w:rsidP="004E3AD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78,66</w:t>
            </w:r>
          </w:p>
        </w:tc>
      </w:tr>
      <w:tr w:rsidR="004E3AD4" w:rsidRPr="006A2B0F" w14:paraId="09C808EA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8"/>
        </w:trPr>
        <w:tc>
          <w:tcPr>
            <w:tcW w:w="1314" w:type="dxa"/>
            <w:gridSpan w:val="2"/>
            <w:hideMark/>
          </w:tcPr>
          <w:p w14:paraId="35983D43" w14:textId="5A0AA7FD" w:rsidR="004E3AD4" w:rsidRPr="006A2B0F" w:rsidRDefault="004E3AD4" w:rsidP="001D46D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3516" w:type="dxa"/>
            <w:hideMark/>
          </w:tcPr>
          <w:p w14:paraId="2C7309A9" w14:textId="59FBD228" w:rsidR="004E3AD4" w:rsidRPr="006A2B0F" w:rsidRDefault="004E3AD4" w:rsidP="001D46D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Licence</w:t>
            </w:r>
          </w:p>
        </w:tc>
        <w:tc>
          <w:tcPr>
            <w:tcW w:w="2107" w:type="dxa"/>
            <w:hideMark/>
          </w:tcPr>
          <w:p w14:paraId="54465576" w14:textId="77777777" w:rsidR="004E3AD4" w:rsidRPr="006A2B0F" w:rsidRDefault="004E3AD4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1.130,00</w:t>
            </w:r>
          </w:p>
        </w:tc>
        <w:tc>
          <w:tcPr>
            <w:tcW w:w="2243" w:type="dxa"/>
            <w:hideMark/>
          </w:tcPr>
          <w:p w14:paraId="29496B22" w14:textId="77777777" w:rsidR="004E3AD4" w:rsidRPr="006A2B0F" w:rsidRDefault="004E3AD4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888,89</w:t>
            </w:r>
          </w:p>
        </w:tc>
        <w:tc>
          <w:tcPr>
            <w:tcW w:w="1406" w:type="dxa"/>
            <w:hideMark/>
          </w:tcPr>
          <w:p w14:paraId="009FB3F9" w14:textId="77777777" w:rsidR="004E3AD4" w:rsidRPr="006A2B0F" w:rsidRDefault="004E3AD4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78,66</w:t>
            </w:r>
          </w:p>
        </w:tc>
      </w:tr>
      <w:bookmarkEnd w:id="4"/>
      <w:tr w:rsidR="00B47FAC" w:rsidRPr="006A2B0F" w14:paraId="3D832CCB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8"/>
        </w:trPr>
        <w:tc>
          <w:tcPr>
            <w:tcW w:w="1314" w:type="dxa"/>
            <w:gridSpan w:val="2"/>
            <w:vAlign w:val="center"/>
            <w:hideMark/>
          </w:tcPr>
          <w:p w14:paraId="586BC224" w14:textId="3C88D897" w:rsidR="00B47FAC" w:rsidRPr="006A2B0F" w:rsidRDefault="00B47FAC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16" w:type="dxa"/>
            <w:vAlign w:val="center"/>
            <w:hideMark/>
          </w:tcPr>
          <w:p w14:paraId="3903B5EC" w14:textId="71EDE9E3" w:rsidR="00B47FAC" w:rsidRPr="006A2B0F" w:rsidRDefault="00B47FAC" w:rsidP="001D4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107" w:type="dxa"/>
            <w:vAlign w:val="center"/>
            <w:hideMark/>
          </w:tcPr>
          <w:p w14:paraId="5E66E637" w14:textId="75E43C71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14.110,00</w:t>
            </w:r>
          </w:p>
        </w:tc>
        <w:tc>
          <w:tcPr>
            <w:tcW w:w="2243" w:type="dxa"/>
            <w:vAlign w:val="center"/>
            <w:hideMark/>
          </w:tcPr>
          <w:p w14:paraId="2C9AB0C3" w14:textId="00196EFF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10.571,41</w:t>
            </w:r>
          </w:p>
        </w:tc>
        <w:tc>
          <w:tcPr>
            <w:tcW w:w="1406" w:type="dxa"/>
            <w:vAlign w:val="center"/>
            <w:hideMark/>
          </w:tcPr>
          <w:p w14:paraId="457BE814" w14:textId="297C3084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74,92</w:t>
            </w:r>
          </w:p>
        </w:tc>
      </w:tr>
      <w:tr w:rsidR="00B47FAC" w:rsidRPr="006A2B0F" w14:paraId="737F9C2D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8"/>
        </w:trPr>
        <w:tc>
          <w:tcPr>
            <w:tcW w:w="1314" w:type="dxa"/>
            <w:gridSpan w:val="2"/>
            <w:hideMark/>
          </w:tcPr>
          <w:p w14:paraId="6C5A464E" w14:textId="617C46B7" w:rsidR="00B47FAC" w:rsidRPr="006A2B0F" w:rsidRDefault="00B47FAC" w:rsidP="001D46D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516" w:type="dxa"/>
            <w:hideMark/>
          </w:tcPr>
          <w:p w14:paraId="5E480104" w14:textId="0335B922" w:rsidR="00B47FAC" w:rsidRPr="006A2B0F" w:rsidRDefault="00B47FAC" w:rsidP="001D46D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Postrojenja i oprema</w:t>
            </w:r>
          </w:p>
        </w:tc>
        <w:tc>
          <w:tcPr>
            <w:tcW w:w="2107" w:type="dxa"/>
            <w:hideMark/>
          </w:tcPr>
          <w:p w14:paraId="0B5BD8D6" w14:textId="2248DCDA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14.110,00</w:t>
            </w:r>
          </w:p>
        </w:tc>
        <w:tc>
          <w:tcPr>
            <w:tcW w:w="2243" w:type="dxa"/>
            <w:hideMark/>
          </w:tcPr>
          <w:p w14:paraId="5D9A502C" w14:textId="347E88CC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10.571,41</w:t>
            </w:r>
          </w:p>
        </w:tc>
        <w:tc>
          <w:tcPr>
            <w:tcW w:w="1406" w:type="dxa"/>
            <w:hideMark/>
          </w:tcPr>
          <w:p w14:paraId="04029E4D" w14:textId="472DD357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74,92</w:t>
            </w:r>
          </w:p>
        </w:tc>
      </w:tr>
      <w:tr w:rsidR="00B47FAC" w:rsidRPr="006A2B0F" w14:paraId="39D2F515" w14:textId="77777777" w:rsidTr="00B47F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gridBefore w:val="2"/>
          <w:wBefore w:w="34" w:type="dxa"/>
          <w:trHeight w:val="238"/>
        </w:trPr>
        <w:tc>
          <w:tcPr>
            <w:tcW w:w="1314" w:type="dxa"/>
            <w:gridSpan w:val="2"/>
            <w:hideMark/>
          </w:tcPr>
          <w:p w14:paraId="019770FF" w14:textId="7136559F" w:rsidR="00B47FAC" w:rsidRPr="006A2B0F" w:rsidRDefault="00B47FAC" w:rsidP="001D46D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516" w:type="dxa"/>
            <w:hideMark/>
          </w:tcPr>
          <w:p w14:paraId="29D6A9D9" w14:textId="4BD3CEB7" w:rsidR="00B47FAC" w:rsidRPr="006A2B0F" w:rsidRDefault="00B47FAC" w:rsidP="001D46D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Uredska oprema i namještaj</w:t>
            </w:r>
          </w:p>
        </w:tc>
        <w:tc>
          <w:tcPr>
            <w:tcW w:w="2107" w:type="dxa"/>
            <w:hideMark/>
          </w:tcPr>
          <w:p w14:paraId="2B3EC10D" w14:textId="5FA10B84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14.110,00</w:t>
            </w:r>
          </w:p>
        </w:tc>
        <w:tc>
          <w:tcPr>
            <w:tcW w:w="2243" w:type="dxa"/>
            <w:hideMark/>
          </w:tcPr>
          <w:p w14:paraId="2180DF30" w14:textId="486E8228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10.571,41</w:t>
            </w:r>
          </w:p>
        </w:tc>
        <w:tc>
          <w:tcPr>
            <w:tcW w:w="1406" w:type="dxa"/>
            <w:hideMark/>
          </w:tcPr>
          <w:p w14:paraId="67FEECE5" w14:textId="4D5AD836" w:rsidR="00B47FAC" w:rsidRPr="006A2B0F" w:rsidRDefault="00B47FAC" w:rsidP="001D46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74,92</w:t>
            </w:r>
          </w:p>
        </w:tc>
      </w:tr>
      <w:tr w:rsidR="0084254D" w:rsidRPr="006A2B0F" w14:paraId="3FE86387" w14:textId="77777777" w:rsidTr="00B47FAC">
        <w:trPr>
          <w:gridBefore w:val="2"/>
          <w:wBefore w:w="34" w:type="dxa"/>
          <w:trHeight w:val="283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EC913F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Aktivnost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30FC14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A100153 EU PROJEKTI - PORA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E766C6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 xml:space="preserve"> 706.843,00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0297A5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551.402,80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CFF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246599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</w:rPr>
              <w:t>78,01</w:t>
            </w:r>
          </w:p>
        </w:tc>
      </w:tr>
      <w:tr w:rsidR="0084254D" w:rsidRPr="006A2B0F" w14:paraId="7F282E7D" w14:textId="77777777" w:rsidTr="00B47FAC">
        <w:trPr>
          <w:gridBefore w:val="2"/>
          <w:wBefore w:w="34" w:type="dxa"/>
          <w:trHeight w:val="789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13F122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BA923E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AGENCIJA KOPRIVNIČKO - </w:t>
            </w:r>
          </w:p>
          <w:p w14:paraId="22D37A2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601582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706.843,00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9E7B1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551.402,80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CD"/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E44B4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78,01</w:t>
            </w:r>
          </w:p>
        </w:tc>
      </w:tr>
      <w:tr w:rsidR="0084254D" w:rsidRPr="006A2B0F" w14:paraId="4218066E" w14:textId="77777777" w:rsidTr="00B47FAC">
        <w:trPr>
          <w:gridBefore w:val="2"/>
          <w:wBefore w:w="34" w:type="dxa"/>
          <w:trHeight w:val="355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</w:tcPr>
          <w:p w14:paraId="438C79DB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2B978D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66209F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165.660,00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25FBD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139.493,81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9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E3C15A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84,20</w:t>
            </w:r>
          </w:p>
        </w:tc>
      </w:tr>
      <w:tr w:rsidR="0084254D" w:rsidRPr="006A2B0F" w14:paraId="603AB3BA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BB847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AD5FFF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CA1AD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106.440,00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A74C89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81.965,94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3FB62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77,01</w:t>
            </w:r>
          </w:p>
        </w:tc>
      </w:tr>
      <w:tr w:rsidR="0084254D" w:rsidRPr="006A2B0F" w14:paraId="16BB0237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0DD91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4D034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A833A5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106.440,00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62188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81.965,94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532B9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77,01</w:t>
            </w:r>
          </w:p>
        </w:tc>
      </w:tr>
      <w:tr w:rsidR="0084254D" w:rsidRPr="006A2B0F" w14:paraId="72C13E48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F50B5B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58477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BA37C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63.725,00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9F9E8D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56.357,64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655D8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88,44</w:t>
            </w:r>
          </w:p>
        </w:tc>
      </w:tr>
      <w:tr w:rsidR="0084254D" w:rsidRPr="006A2B0F" w14:paraId="35D216AD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A7F4C3C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09C9236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1A1D13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54.725,00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E3521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50.059,68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6D21DE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91,47</w:t>
            </w:r>
          </w:p>
        </w:tc>
      </w:tr>
      <w:tr w:rsidR="0084254D" w:rsidRPr="006A2B0F" w14:paraId="644EDA9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BCAE48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76EC46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533DC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54.725,00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974E69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50.059,68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4BDE6D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91,47</w:t>
            </w:r>
          </w:p>
        </w:tc>
      </w:tr>
      <w:tr w:rsidR="0084254D" w:rsidRPr="006A2B0F" w14:paraId="4B720F7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23D98C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5DA6C7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5D3EEB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E7ACFA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6.297,96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87E2C3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69,98</w:t>
            </w:r>
          </w:p>
        </w:tc>
      </w:tr>
      <w:tr w:rsidR="0084254D" w:rsidRPr="006A2B0F" w14:paraId="7A30DF6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1C7525E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AFC4B5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019FE3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03B43A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6.297,96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9E265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69,98</w:t>
            </w:r>
          </w:p>
        </w:tc>
      </w:tr>
      <w:tr w:rsidR="0084254D" w:rsidRPr="006A2B0F" w14:paraId="6580E2CD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F7FE96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EE9DEE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82D7A5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42.715,00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BB555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25.608,30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4C6B0F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59,95</w:t>
            </w:r>
          </w:p>
        </w:tc>
      </w:tr>
      <w:tr w:rsidR="0084254D" w:rsidRPr="006A2B0F" w14:paraId="7917F6F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89CD35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D9231F5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937DB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6.275,00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49A22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3.943,15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DF7EF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62,84</w:t>
            </w:r>
          </w:p>
        </w:tc>
      </w:tr>
      <w:tr w:rsidR="0084254D" w:rsidRPr="006A2B0F" w14:paraId="2BF9DD32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6B5FD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D49893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921B3F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5.030,00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029C7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3.006,86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838895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59,78</w:t>
            </w:r>
          </w:p>
        </w:tc>
      </w:tr>
      <w:tr w:rsidR="0084254D" w:rsidRPr="006A2B0F" w14:paraId="6CC1CB05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BA7941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6EA0B4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BF8E7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C945B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125,57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A85740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62,79</w:t>
            </w:r>
          </w:p>
        </w:tc>
      </w:tr>
      <w:tr w:rsidR="0084254D" w:rsidRPr="006A2B0F" w14:paraId="50D9D61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9676E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45D428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8CE2C7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1.045,00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88D32B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810,72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DE792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77,58</w:t>
            </w:r>
          </w:p>
        </w:tc>
      </w:tr>
      <w:tr w:rsidR="0084254D" w:rsidRPr="006A2B0F" w14:paraId="5D9BD57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FF7B20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C75D02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EBF033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3.305,00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0EB44D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2.583,13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CBD1A0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78,16</w:t>
            </w:r>
          </w:p>
        </w:tc>
      </w:tr>
      <w:tr w:rsidR="0084254D" w:rsidRPr="006A2B0F" w14:paraId="3153F8AA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E59C6A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527790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65B7C8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1.480,00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EC61A1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1.107,37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0E3E1A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74,82</w:t>
            </w:r>
          </w:p>
        </w:tc>
      </w:tr>
      <w:tr w:rsidR="0084254D" w:rsidRPr="006A2B0F" w14:paraId="72930656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D77726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A6D327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A36A12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1.325,00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D03FE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1.108,79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30AE1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83,68</w:t>
            </w:r>
          </w:p>
        </w:tc>
      </w:tr>
      <w:tr w:rsidR="0084254D" w:rsidRPr="006A2B0F" w14:paraId="0C6DFCFF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66FFC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36EB2A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8C9AB0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BB41CD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366,97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C42FE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73,39</w:t>
            </w:r>
          </w:p>
        </w:tc>
      </w:tr>
      <w:tr w:rsidR="0084254D" w:rsidRPr="006A2B0F" w14:paraId="40166129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28F7AD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68201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A2C1D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30.475,00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CF2CED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16.943,83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F4D18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55,60</w:t>
            </w:r>
          </w:p>
        </w:tc>
      </w:tr>
      <w:tr w:rsidR="0084254D" w:rsidRPr="006A2B0F" w14:paraId="683B9B94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59A425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EF619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F7FA5D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1.445,00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F0AD83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870,68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149F9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60,25</w:t>
            </w:r>
          </w:p>
        </w:tc>
      </w:tr>
      <w:tr w:rsidR="0084254D" w:rsidRPr="006A2B0F" w14:paraId="4DC7302A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1CC654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956B0A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DC30E2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1.110,00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026C5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673,76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B04449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60,70</w:t>
            </w:r>
          </w:p>
        </w:tc>
      </w:tr>
      <w:tr w:rsidR="0084254D" w:rsidRPr="006A2B0F" w14:paraId="4A706AF0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D8F8BA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6ED820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0A2F44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4.410,00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682338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2.637,15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00169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59,80</w:t>
            </w:r>
          </w:p>
        </w:tc>
      </w:tr>
      <w:tr w:rsidR="0084254D" w:rsidRPr="006A2B0F" w14:paraId="704F24FC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5C3543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83032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A1C869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36555F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547,97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1A05E5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86,98</w:t>
            </w:r>
          </w:p>
        </w:tc>
      </w:tr>
      <w:tr w:rsidR="0084254D" w:rsidRPr="006A2B0F" w14:paraId="0806D4D0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4AD66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D0FF4D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830207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915,00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95A389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799,88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539DE0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87,42</w:t>
            </w:r>
          </w:p>
        </w:tc>
      </w:tr>
      <w:tr w:rsidR="0084254D" w:rsidRPr="006A2B0F" w14:paraId="0D7F372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91EDA2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3237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A2B7B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06DF8B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19.900,00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5EC32D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9.868,47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6652B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49,59</w:t>
            </w:r>
          </w:p>
        </w:tc>
      </w:tr>
      <w:tr w:rsidR="0084254D" w:rsidRPr="006A2B0F" w14:paraId="0C4A00A4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474A23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981301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1FB19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2.065,00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EC944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1.545,92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D01E20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74,86</w:t>
            </w:r>
          </w:p>
        </w:tc>
      </w:tr>
      <w:tr w:rsidR="0084254D" w:rsidRPr="006A2B0F" w14:paraId="4364C20F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E0746F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83AD5E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42C42F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1123EA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FB1BC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</w:tr>
      <w:tr w:rsidR="0084254D" w:rsidRPr="006A2B0F" w14:paraId="213C638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B75A3F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B1FE2B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14A6CB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F396C3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8F95B9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</w:tr>
      <w:tr w:rsidR="0084254D" w:rsidRPr="006A2B0F" w14:paraId="50A01BA2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4C26B6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19E83C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32B98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2.030,00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03F4B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1.508,19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4CEE7D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74,30</w:t>
            </w:r>
          </w:p>
        </w:tc>
      </w:tr>
      <w:tr w:rsidR="0084254D" w:rsidRPr="006A2B0F" w14:paraId="620D4B6D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951067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47203A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5032A9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2.030,00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5866FB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1.508,19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177F56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74,30</w:t>
            </w:r>
          </w:p>
        </w:tc>
      </w:tr>
      <w:tr w:rsidR="0084254D" w:rsidRPr="006A2B0F" w14:paraId="612B1B75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136F7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BA8CE8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1.9. OPĆI PRIHODI I PRIMICI ZA PREDFINANCIRANJE PROJEKATA-PK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608BD4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59.220,00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85246A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57.527,87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6C4F4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97,14</w:t>
            </w:r>
          </w:p>
        </w:tc>
      </w:tr>
      <w:tr w:rsidR="0084254D" w:rsidRPr="006A2B0F" w14:paraId="14A7CC2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C9333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BEAB6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C29A3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59.220,00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A3C76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57.527,87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12507C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97,14</w:t>
            </w:r>
          </w:p>
        </w:tc>
      </w:tr>
      <w:tr w:rsidR="0084254D" w:rsidRPr="006A2B0F" w14:paraId="09F62E0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44F1DB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A3344B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BDF7DB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28.825,00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E6A48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28.749,29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642C11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99,74</w:t>
            </w:r>
          </w:p>
        </w:tc>
      </w:tr>
      <w:tr w:rsidR="0084254D" w:rsidRPr="006A2B0F" w14:paraId="074CF41C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44F9B01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CFA4982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8E2D96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24.800,00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BAB10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24.755,02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225983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99,82</w:t>
            </w:r>
          </w:p>
        </w:tc>
      </w:tr>
      <w:tr w:rsidR="0084254D" w:rsidRPr="006A2B0F" w14:paraId="081DB6B4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3D9B42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C79F897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E42628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24.800,00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3CA3B7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24.755,02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0592CE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99,82</w:t>
            </w:r>
          </w:p>
        </w:tc>
      </w:tr>
      <w:tr w:rsidR="0084254D" w:rsidRPr="006A2B0F" w14:paraId="715FC9F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F6BDC0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2DA6EF3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DF586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4.025,00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4EAE6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3.994,27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C85502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99,24</w:t>
            </w:r>
          </w:p>
        </w:tc>
      </w:tr>
      <w:tr w:rsidR="0084254D" w:rsidRPr="006A2B0F" w14:paraId="171617A0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D50479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193859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93967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4.025,00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C00EFF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3.994,27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B026CD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99,24</w:t>
            </w:r>
          </w:p>
        </w:tc>
      </w:tr>
      <w:tr w:rsidR="0084254D" w:rsidRPr="006A2B0F" w14:paraId="54C06D10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5950C5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07872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5D8AE5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30.395,00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4A460C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28.778,58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12071F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94,68</w:t>
            </w:r>
          </w:p>
        </w:tc>
      </w:tr>
      <w:tr w:rsidR="0084254D" w:rsidRPr="006A2B0F" w14:paraId="0FC2557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524ED54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4B1B81D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0F0E91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5.315,00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52B8FF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4.687,93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3EEAC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88,20</w:t>
            </w:r>
          </w:p>
        </w:tc>
      </w:tr>
      <w:tr w:rsidR="0084254D" w:rsidRPr="006A2B0F" w14:paraId="3AE2C278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D54DF3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C05056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ADC70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4.815,00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B9BD6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4.289,50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0A4BC9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89,09</w:t>
            </w:r>
          </w:p>
        </w:tc>
      </w:tr>
      <w:tr w:rsidR="0084254D" w:rsidRPr="006A2B0F" w14:paraId="39BFA117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84B4D7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E86A5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451CD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C715B9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398,43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D2D19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79,69</w:t>
            </w:r>
          </w:p>
        </w:tc>
      </w:tr>
      <w:tr w:rsidR="0084254D" w:rsidRPr="006A2B0F" w14:paraId="5355BEF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93C64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B2A39E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DFB4D6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D501A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2ADDF2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</w:tr>
      <w:tr w:rsidR="0084254D" w:rsidRPr="006A2B0F" w14:paraId="7E355A3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B8B081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C2C48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DF97AC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6E71B8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B18B71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</w:tr>
      <w:tr w:rsidR="0084254D" w:rsidRPr="006A2B0F" w14:paraId="51DCE57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FD25D2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44D4A8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432272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16.220,00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15609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15.248,50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27044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94,01</w:t>
            </w:r>
          </w:p>
        </w:tc>
      </w:tr>
      <w:tr w:rsidR="0084254D" w:rsidRPr="006A2B0F" w14:paraId="41F3FAA7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25B40C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1D0B72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F0F617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2.250,00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C1A9CD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400E8E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13,33</w:t>
            </w:r>
          </w:p>
        </w:tc>
      </w:tr>
      <w:tr w:rsidR="0084254D" w:rsidRPr="006A2B0F" w14:paraId="4960D3F7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E3A18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B7744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2F3C9C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5.300,00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D902A1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4.205,00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AC771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79,34</w:t>
            </w:r>
          </w:p>
        </w:tc>
      </w:tr>
      <w:tr w:rsidR="0084254D" w:rsidRPr="006A2B0F" w14:paraId="1F4B4A8A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2B0902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A9832A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DC8A8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8.270,00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BC71E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10.207,50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69AE2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123,43</w:t>
            </w:r>
          </w:p>
        </w:tc>
      </w:tr>
      <w:tr w:rsidR="0084254D" w:rsidRPr="006A2B0F" w14:paraId="73465B8D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6775C5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C1E1EA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8B4E4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46D09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536,00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0BBE4D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134,00</w:t>
            </w:r>
          </w:p>
        </w:tc>
      </w:tr>
      <w:tr w:rsidR="0084254D" w:rsidRPr="006A2B0F" w14:paraId="5E84E72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D33157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BCAC5E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1702C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2.530,00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6D1D67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2.520,00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B1E8FF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99,60</w:t>
            </w:r>
          </w:p>
        </w:tc>
      </w:tr>
      <w:tr w:rsidR="0084254D" w:rsidRPr="006A2B0F" w14:paraId="1CFD4F4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BA5359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04A01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7E76D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2.530,00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A1B98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2.520,00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58067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99,60</w:t>
            </w:r>
          </w:p>
        </w:tc>
      </w:tr>
      <w:tr w:rsidR="0084254D" w:rsidRPr="006A2B0F" w14:paraId="5E052A65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CD6881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30CB61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F711F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5.330,00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7926B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5.322,15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D0241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99,85</w:t>
            </w:r>
          </w:p>
        </w:tc>
      </w:tr>
      <w:tr w:rsidR="0084254D" w:rsidRPr="006A2B0F" w14:paraId="56491E3A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384CB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5E300A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9C3AF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5.330,00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48FEA9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5.322,15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27147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99,85</w:t>
            </w:r>
          </w:p>
        </w:tc>
      </w:tr>
      <w:tr w:rsidR="0084254D" w:rsidRPr="006A2B0F" w14:paraId="6D7BBE1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</w:tcPr>
          <w:p w14:paraId="4E1980B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36BF10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 POMOĆI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F0A7FB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541.183,00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0D392E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411.908,99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B8BEC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76,11</w:t>
            </w:r>
          </w:p>
        </w:tc>
      </w:tr>
      <w:tr w:rsidR="0084254D" w:rsidRPr="006A2B0F" w14:paraId="3D4C408E" w14:textId="77777777" w:rsidTr="00B47FAC">
        <w:trPr>
          <w:gridBefore w:val="2"/>
          <w:wBefore w:w="34" w:type="dxa"/>
          <w:trHeight w:val="476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397F6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Izvor financ.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BD9920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5.8. SREDSTVA EU - PRORAČUNSKI KORISNICI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4C3B07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541.183,00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255BF9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411.908,99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DDA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EA3CF1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76,11</w:t>
            </w:r>
          </w:p>
        </w:tc>
      </w:tr>
      <w:tr w:rsidR="0084254D" w:rsidRPr="006A2B0F" w14:paraId="4CDA9327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1555EF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28888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50ADE1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541.183,00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F5F40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411.908,99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EEEEE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9FF08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76,11</w:t>
            </w:r>
          </w:p>
        </w:tc>
      </w:tr>
      <w:tr w:rsidR="0084254D" w:rsidRPr="006A2B0F" w14:paraId="3D41F9F8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84C168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A096EA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E77B5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309.100,00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973EE6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280.985,46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6F6F6"/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F8CF28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90,90</w:t>
            </w:r>
          </w:p>
        </w:tc>
      </w:tr>
      <w:tr w:rsidR="0084254D" w:rsidRPr="006A2B0F" w14:paraId="04933BCC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1F6467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A5B9DEE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C69D7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270.000,00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99478C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250.169,55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FEA8F9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92,66</w:t>
            </w:r>
          </w:p>
        </w:tc>
      </w:tr>
      <w:tr w:rsidR="0084254D" w:rsidRPr="006A2B0F" w14:paraId="08D777C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F69AD78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3111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4309C73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EEC90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270.000,00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A32F4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250.169,55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5592B1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92,66</w:t>
            </w:r>
          </w:p>
        </w:tc>
      </w:tr>
      <w:tr w:rsidR="0084254D" w:rsidRPr="006A2B0F" w14:paraId="28653A30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1A3C38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851C05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909FF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39.100,00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255B0C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30.815,91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6ACDC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78,81</w:t>
            </w:r>
          </w:p>
        </w:tc>
      </w:tr>
      <w:tr w:rsidR="0084254D" w:rsidRPr="006A2B0F" w14:paraId="4850340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7616AF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5109D9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F38E3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39.100,00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8A4B42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30.815,91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19FBE3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78,81</w:t>
            </w:r>
          </w:p>
        </w:tc>
      </w:tr>
      <w:tr w:rsidR="0084254D" w:rsidRPr="006A2B0F" w14:paraId="6D2DAFD8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E9667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0C75E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9136812" w14:textId="3D79C6FC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232.083</w:t>
            </w:r>
            <w:r w:rsidR="00A426E4"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8C55E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130.923,53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AC75C5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56,41</w:t>
            </w:r>
          </w:p>
        </w:tc>
      </w:tr>
      <w:tr w:rsidR="0084254D" w:rsidRPr="006A2B0F" w14:paraId="0178A164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CBFED8E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090C45" w14:textId="77777777" w:rsidR="0084254D" w:rsidRPr="006A2B0F" w:rsidRDefault="0084254D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82888F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24.705,00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61A18CF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16.589,82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368AD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67,15</w:t>
            </w:r>
          </w:p>
        </w:tc>
      </w:tr>
      <w:tr w:rsidR="0084254D" w:rsidRPr="006A2B0F" w14:paraId="41080DF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BD4198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2E504B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F3C18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18.425,00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0540F3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12.803,94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3D798A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69,49</w:t>
            </w:r>
          </w:p>
        </w:tc>
      </w:tr>
      <w:tr w:rsidR="0084254D" w:rsidRPr="006A2B0F" w14:paraId="10E9A10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D0BB72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57D725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899198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475FFE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120,92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E6236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36,64</w:t>
            </w:r>
          </w:p>
        </w:tc>
      </w:tr>
      <w:tr w:rsidR="0084254D" w:rsidRPr="006A2B0F" w14:paraId="2452CA5C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DD4601D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78241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0C201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5.950,00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738585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3.664,96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7A0F13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61,60</w:t>
            </w:r>
          </w:p>
        </w:tc>
      </w:tr>
      <w:tr w:rsidR="0084254D" w:rsidRPr="006A2B0F" w14:paraId="3685CE2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729FD2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E23AF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FD794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17.773,00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422D80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13.637,48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C5B38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76,73</w:t>
            </w:r>
          </w:p>
        </w:tc>
      </w:tr>
      <w:tr w:rsidR="0084254D" w:rsidRPr="006A2B0F" w14:paraId="03BA10C6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641EB1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9E55534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E02A96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7.450,00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7296B0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6.274,93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FC7FA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84,23</w:t>
            </w:r>
          </w:p>
        </w:tc>
      </w:tr>
      <w:tr w:rsidR="0084254D" w:rsidRPr="006A2B0F" w14:paraId="1E03251E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4222D0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E257E97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76510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6.965,00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0F623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5.283,08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E37CEB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75,85</w:t>
            </w:r>
          </w:p>
        </w:tc>
      </w:tr>
      <w:tr w:rsidR="0084254D" w:rsidRPr="006A2B0F" w14:paraId="69ABC832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B3BE6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9D1CD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6905D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3.358,00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D12659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2.079,47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5D14E0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61,93</w:t>
            </w:r>
          </w:p>
        </w:tc>
      </w:tr>
      <w:tr w:rsidR="0084254D" w:rsidRPr="006A2B0F" w14:paraId="2C58E82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E2C1BF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D3927C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4B893F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178.005,00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810BF3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94.681,68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83CCEA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53,19</w:t>
            </w:r>
          </w:p>
        </w:tc>
      </w:tr>
      <w:tr w:rsidR="0084254D" w:rsidRPr="006A2B0F" w14:paraId="3196441C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9CDF986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DEA8B15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E672B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5.215,00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8CB479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4.933,72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985804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94,61</w:t>
            </w:r>
          </w:p>
        </w:tc>
      </w:tr>
      <w:tr w:rsidR="0084254D" w:rsidRPr="006A2B0F" w14:paraId="256955D6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CBFC1B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37821CA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B509CB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7.545,00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45683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3.817,93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FBB098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50,60</w:t>
            </w:r>
          </w:p>
        </w:tc>
      </w:tr>
      <w:tr w:rsidR="0084254D" w:rsidRPr="006A2B0F" w14:paraId="402DE6FA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50ECBC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ABA33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AA1A21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30.065,00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D3304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24.581,47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1F00649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81,76</w:t>
            </w:r>
          </w:p>
        </w:tc>
      </w:tr>
      <w:tr w:rsidR="0084254D" w:rsidRPr="006A2B0F" w14:paraId="1718E566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C02D11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1C827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C6465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3.355,00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C85E83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3.105,31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829CFE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92,56</w:t>
            </w:r>
          </w:p>
        </w:tc>
      </w:tr>
      <w:tr w:rsidR="0084254D" w:rsidRPr="006A2B0F" w14:paraId="0FE81223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1253ACB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4D552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DC9EB4E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4.845,00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654D34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4.533,57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F3ADAC7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93,57</w:t>
            </w:r>
          </w:p>
        </w:tc>
      </w:tr>
      <w:tr w:rsidR="0084254D" w:rsidRPr="006A2B0F" w14:paraId="104487AB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50C7658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A24FF8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6CF8E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115.000,00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79480B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45.752,78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1BCAE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39,79</w:t>
            </w:r>
          </w:p>
        </w:tc>
      </w:tr>
      <w:tr w:rsidR="0084254D" w:rsidRPr="006A2B0F" w14:paraId="044D12B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0156CF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02CC6C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693303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11.980,00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5D6C38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7.956,90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179F7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66,42</w:t>
            </w:r>
          </w:p>
        </w:tc>
      </w:tr>
      <w:tr w:rsidR="0084254D" w:rsidRPr="006A2B0F" w14:paraId="144F3716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BD2B2FF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D2997E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B6879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2.650,00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7D592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2.149,40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BD1A26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81,11</w:t>
            </w:r>
          </w:p>
        </w:tc>
      </w:tr>
      <w:tr w:rsidR="0084254D" w:rsidRPr="006A2B0F" w14:paraId="3E1832D8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E010449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80E2E5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313FCC5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2.650,00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0D4EA82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2.149,40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354801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81,11</w:t>
            </w:r>
          </w:p>
        </w:tc>
      </w:tr>
      <w:tr w:rsidR="0084254D" w:rsidRPr="006A2B0F" w14:paraId="755FCB41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635233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A553E2E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3F2168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8.950,00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F1838D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3.865,15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5079DC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43,19</w:t>
            </w:r>
          </w:p>
        </w:tc>
      </w:tr>
      <w:tr w:rsidR="0084254D" w:rsidRPr="006A2B0F" w14:paraId="0465E980" w14:textId="77777777" w:rsidTr="00B47FAC">
        <w:trPr>
          <w:gridBefore w:val="2"/>
          <w:wBefore w:w="34" w:type="dxa"/>
          <w:trHeight w:val="238"/>
          <w:jc w:val="center"/>
        </w:trPr>
        <w:tc>
          <w:tcPr>
            <w:tcW w:w="13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70570C0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6C36492" w14:textId="77777777" w:rsidR="0084254D" w:rsidRPr="006A2B0F" w:rsidRDefault="008425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0F60164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8.950,00</w:t>
            </w:r>
          </w:p>
        </w:tc>
        <w:tc>
          <w:tcPr>
            <w:tcW w:w="22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8A036B0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3.865,15</w:t>
            </w:r>
          </w:p>
        </w:tc>
        <w:tc>
          <w:tcPr>
            <w:tcW w:w="14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35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55EE436" w14:textId="77777777" w:rsidR="0084254D" w:rsidRPr="006A2B0F" w:rsidRDefault="0084254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Arial" w:hAnsi="Times New Roman" w:cs="Times New Roman"/>
                <w:sz w:val="24"/>
                <w:szCs w:val="24"/>
              </w:rPr>
              <w:t>43,19</w:t>
            </w:r>
          </w:p>
        </w:tc>
      </w:tr>
    </w:tbl>
    <w:p w14:paraId="1BA5E4B1" w14:textId="77777777" w:rsidR="004371E2" w:rsidRPr="006A2B0F" w:rsidRDefault="004371E2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24A58" w14:textId="77777777" w:rsidR="004371E2" w:rsidRPr="006A2B0F" w:rsidRDefault="004371E2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D41F2" w14:textId="77777777" w:rsidR="00C81F04" w:rsidRPr="006A2B0F" w:rsidRDefault="00C81F04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DA8AE" w14:textId="77777777" w:rsidR="00803102" w:rsidRPr="006A2B0F" w:rsidRDefault="00803102" w:rsidP="00803102">
      <w:pPr>
        <w:tabs>
          <w:tab w:val="center" w:pos="2267"/>
          <w:tab w:val="center" w:pos="7171"/>
          <w:tab w:val="center" w:pos="9271"/>
          <w:tab w:val="center" w:pos="10406"/>
        </w:tabs>
        <w:spacing w:after="3"/>
        <w:rPr>
          <w:rFonts w:ascii="Arial" w:eastAsia="Arial" w:hAnsi="Arial" w:cs="Arial"/>
          <w:sz w:val="20"/>
          <w:lang w:eastAsia="hr-HR"/>
        </w:rPr>
      </w:pPr>
    </w:p>
    <w:p w14:paraId="2280B6D5" w14:textId="7A012039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E35C7" w14:textId="25A1CB91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B3CF6" w14:textId="092E878E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3126C" w14:textId="4BB6B025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05F65" w14:textId="4FA88B5E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81A6" w14:textId="25357162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B794C" w14:textId="00791109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F3121" w14:textId="735C94EE" w:rsidR="001D5521" w:rsidRPr="006A2B0F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46078" w14:textId="77777777" w:rsidR="0084254D" w:rsidRPr="006A2B0F" w:rsidRDefault="0084254D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6583B" w14:textId="77777777" w:rsidR="0084254D" w:rsidRPr="006A2B0F" w:rsidRDefault="0084254D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32BA7" w14:textId="16DDA071" w:rsidR="00803102" w:rsidRPr="006A2B0F" w:rsidRDefault="001D5521" w:rsidP="001D552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III.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OBRAZLOŽENJE </w:t>
      </w:r>
      <w:r w:rsidR="005F01DF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GODIŠNJEG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IZVJEŠTAJA O IZVRŠENJU</w:t>
      </w:r>
      <w:r w:rsidR="00A400D1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1DF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        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FINANCIJSKOG </w:t>
      </w:r>
      <w:r w:rsidR="005F01DF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LANA PORE REGIONALNE RAZVOJNE</w:t>
      </w:r>
      <w:r w:rsidR="00A400D1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1DF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         </w:t>
      </w:r>
      <w:r w:rsidR="00A400D1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GENCIJE</w:t>
      </w:r>
      <w:r w:rsidR="00A400D1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1DF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OPRIVNIČKO-KRIŽEVAČKE ŽUPANIJE ZA</w:t>
      </w:r>
      <w:r w:rsidR="00A400D1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1DF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        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RAZDOBLJE 01.01.-31.12.202</w:t>
      </w:r>
      <w:r w:rsidR="00131019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GODINE</w:t>
      </w:r>
    </w:p>
    <w:p w14:paraId="36BE95FD" w14:textId="7312701A" w:rsidR="00803102" w:rsidRPr="006A2B0F" w:rsidRDefault="00803102" w:rsidP="0080310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CC91A" w14:textId="77777777" w:rsidR="00803102" w:rsidRPr="006A2B0F" w:rsidRDefault="00803102" w:rsidP="0080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Članak 3.</w:t>
      </w:r>
    </w:p>
    <w:p w14:paraId="5C0BBB24" w14:textId="77777777" w:rsidR="00803102" w:rsidRPr="006A2B0F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745F8" w14:textId="4FC00630" w:rsidR="00803102" w:rsidRPr="006A2B0F" w:rsidRDefault="00D17130" w:rsidP="00D17130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3.1.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OPĆI DIO</w:t>
      </w:r>
    </w:p>
    <w:p w14:paraId="1CE41888" w14:textId="77777777" w:rsidR="00803102" w:rsidRPr="006A2B0F" w:rsidRDefault="00803102" w:rsidP="008031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8DE049" w14:textId="23096CC1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Financijski plan PORE Regionalne razvojne agencije Koprivničko-križevačke županije za 202</w:t>
      </w:r>
      <w:r w:rsidR="00131019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>. godinu s projekcijama za 202</w:t>
      </w:r>
      <w:r w:rsidR="00131019" w:rsidRPr="006A2B0F">
        <w:rPr>
          <w:rFonts w:ascii="Times New Roman" w:hAnsi="Times New Roman" w:cs="Times New Roman"/>
          <w:sz w:val="24"/>
          <w:szCs w:val="24"/>
        </w:rPr>
        <w:t>4</w:t>
      </w:r>
      <w:r w:rsidRPr="006A2B0F">
        <w:rPr>
          <w:rFonts w:ascii="Times New Roman" w:hAnsi="Times New Roman" w:cs="Times New Roman"/>
          <w:sz w:val="24"/>
          <w:szCs w:val="24"/>
        </w:rPr>
        <w:t>. i 202</w:t>
      </w:r>
      <w:r w:rsidR="00131019" w:rsidRPr="006A2B0F">
        <w:rPr>
          <w:rFonts w:ascii="Times New Roman" w:hAnsi="Times New Roman" w:cs="Times New Roman"/>
          <w:sz w:val="24"/>
          <w:szCs w:val="24"/>
        </w:rPr>
        <w:t>5</w:t>
      </w:r>
      <w:r w:rsidRPr="006A2B0F">
        <w:rPr>
          <w:rFonts w:ascii="Times New Roman" w:hAnsi="Times New Roman" w:cs="Times New Roman"/>
          <w:sz w:val="24"/>
          <w:szCs w:val="24"/>
        </w:rPr>
        <w:t xml:space="preserve">. godinu usvojen je na </w:t>
      </w:r>
      <w:r w:rsidR="00695678" w:rsidRPr="006A2B0F">
        <w:rPr>
          <w:rFonts w:ascii="Times New Roman" w:hAnsi="Times New Roman" w:cs="Times New Roman"/>
          <w:sz w:val="24"/>
          <w:szCs w:val="24"/>
        </w:rPr>
        <w:t>16.</w:t>
      </w:r>
      <w:r w:rsidRPr="006A2B0F">
        <w:rPr>
          <w:rFonts w:ascii="Times New Roman" w:hAnsi="Times New Roman" w:cs="Times New Roman"/>
          <w:sz w:val="24"/>
          <w:szCs w:val="24"/>
        </w:rPr>
        <w:t xml:space="preserve"> sjednici Upravnog vijeća PORE Regionalne razvojne agencije Koprivničko-križevačke županije održanoj </w:t>
      </w:r>
      <w:r w:rsidR="00695678" w:rsidRPr="006A2B0F">
        <w:rPr>
          <w:rFonts w:ascii="Times New Roman" w:hAnsi="Times New Roman" w:cs="Times New Roman"/>
          <w:sz w:val="24"/>
          <w:szCs w:val="24"/>
        </w:rPr>
        <w:t>4</w:t>
      </w:r>
      <w:r w:rsidRPr="006A2B0F">
        <w:rPr>
          <w:rFonts w:ascii="Times New Roman" w:hAnsi="Times New Roman" w:cs="Times New Roman"/>
          <w:sz w:val="24"/>
          <w:szCs w:val="24"/>
        </w:rPr>
        <w:t xml:space="preserve">. </w:t>
      </w:r>
      <w:r w:rsidR="00695678" w:rsidRPr="006A2B0F">
        <w:rPr>
          <w:rFonts w:ascii="Times New Roman" w:hAnsi="Times New Roman" w:cs="Times New Roman"/>
          <w:sz w:val="24"/>
          <w:szCs w:val="24"/>
        </w:rPr>
        <w:t>studenoga</w:t>
      </w:r>
      <w:r w:rsidRPr="006A2B0F">
        <w:rPr>
          <w:rFonts w:ascii="Times New Roman" w:hAnsi="Times New Roman" w:cs="Times New Roman"/>
          <w:sz w:val="24"/>
          <w:szCs w:val="24"/>
        </w:rPr>
        <w:t xml:space="preserve"> 202</w:t>
      </w:r>
      <w:r w:rsidR="00695678" w:rsidRPr="006A2B0F">
        <w:rPr>
          <w:rFonts w:ascii="Times New Roman" w:hAnsi="Times New Roman" w:cs="Times New Roman"/>
          <w:sz w:val="24"/>
          <w:szCs w:val="24"/>
        </w:rPr>
        <w:t>2</w:t>
      </w:r>
      <w:r w:rsidRPr="006A2B0F">
        <w:rPr>
          <w:rFonts w:ascii="Times New Roman" w:hAnsi="Times New Roman" w:cs="Times New Roman"/>
          <w:sz w:val="24"/>
          <w:szCs w:val="24"/>
        </w:rPr>
        <w:t>. godine.</w:t>
      </w:r>
    </w:p>
    <w:p w14:paraId="2A486614" w14:textId="27E37C44" w:rsidR="00803102" w:rsidRPr="006A2B0F" w:rsidRDefault="00803102" w:rsidP="008031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I. Izmjene i dopune Financijskog plana PORE Regionalne razvojne agencije Koprivničko-križevačke županije za 202</w:t>
      </w:r>
      <w:r w:rsidR="00695678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 xml:space="preserve">. godinu usvojene su na </w:t>
      </w:r>
      <w:r w:rsidR="00695678" w:rsidRPr="006A2B0F">
        <w:rPr>
          <w:rFonts w:ascii="Times New Roman" w:hAnsi="Times New Roman" w:cs="Times New Roman"/>
          <w:sz w:val="24"/>
          <w:szCs w:val="24"/>
        </w:rPr>
        <w:t>24</w:t>
      </w:r>
      <w:r w:rsidRPr="006A2B0F">
        <w:rPr>
          <w:rFonts w:ascii="Times New Roman" w:hAnsi="Times New Roman" w:cs="Times New Roman"/>
          <w:sz w:val="24"/>
          <w:szCs w:val="24"/>
        </w:rPr>
        <w:t>. sjednici Upravnog vijeća PORE Regionalne razvojne agencije Koprivničko-križevačke županije održanoj 31. svibnja 202</w:t>
      </w:r>
      <w:r w:rsidR="00695678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>. godine.</w:t>
      </w:r>
    </w:p>
    <w:p w14:paraId="06C7CFAC" w14:textId="77E899C8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II. Izmjene i dopune Financijskog plana PORE Regionalne razvojne agencije Koprivničko-križevačke županije za 202</w:t>
      </w:r>
      <w:r w:rsidR="00695678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 xml:space="preserve">. godinu usvojene su na </w:t>
      </w:r>
      <w:r w:rsidR="00695678" w:rsidRPr="006A2B0F">
        <w:rPr>
          <w:rFonts w:ascii="Times New Roman" w:hAnsi="Times New Roman" w:cs="Times New Roman"/>
          <w:sz w:val="24"/>
          <w:szCs w:val="24"/>
        </w:rPr>
        <w:t>34</w:t>
      </w:r>
      <w:r w:rsidRPr="006A2B0F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A36E34" w:rsidRPr="006A2B0F">
        <w:rPr>
          <w:rFonts w:ascii="Times New Roman" w:hAnsi="Times New Roman" w:cs="Times New Roman"/>
          <w:sz w:val="24"/>
          <w:szCs w:val="24"/>
        </w:rPr>
        <w:t>U</w:t>
      </w:r>
      <w:r w:rsidRPr="006A2B0F">
        <w:rPr>
          <w:rFonts w:ascii="Times New Roman" w:hAnsi="Times New Roman" w:cs="Times New Roman"/>
          <w:sz w:val="24"/>
          <w:szCs w:val="24"/>
        </w:rPr>
        <w:t xml:space="preserve">pravnog vijeća PORE Regionalne razvojne agencije Koprivničko-križevačke županije održanoj </w:t>
      </w:r>
      <w:r w:rsidR="00695678" w:rsidRPr="006A2B0F">
        <w:rPr>
          <w:rFonts w:ascii="Times New Roman" w:hAnsi="Times New Roman" w:cs="Times New Roman"/>
          <w:sz w:val="24"/>
          <w:szCs w:val="24"/>
        </w:rPr>
        <w:t>12</w:t>
      </w:r>
      <w:r w:rsidRPr="006A2B0F">
        <w:rPr>
          <w:rFonts w:ascii="Times New Roman" w:hAnsi="Times New Roman" w:cs="Times New Roman"/>
          <w:sz w:val="24"/>
          <w:szCs w:val="24"/>
        </w:rPr>
        <w:t xml:space="preserve">. </w:t>
      </w:r>
      <w:r w:rsidR="00695678" w:rsidRPr="006A2B0F">
        <w:rPr>
          <w:rFonts w:ascii="Times New Roman" w:hAnsi="Times New Roman" w:cs="Times New Roman"/>
          <w:sz w:val="24"/>
          <w:szCs w:val="24"/>
        </w:rPr>
        <w:t>prosinca</w:t>
      </w:r>
      <w:r w:rsidRPr="006A2B0F">
        <w:rPr>
          <w:rFonts w:ascii="Times New Roman" w:hAnsi="Times New Roman" w:cs="Times New Roman"/>
          <w:sz w:val="24"/>
          <w:szCs w:val="24"/>
        </w:rPr>
        <w:t xml:space="preserve"> 202</w:t>
      </w:r>
      <w:r w:rsidR="00695678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 xml:space="preserve">. </w:t>
      </w:r>
      <w:r w:rsidR="001322D9" w:rsidRPr="006A2B0F">
        <w:rPr>
          <w:rFonts w:ascii="Times New Roman" w:hAnsi="Times New Roman" w:cs="Times New Roman"/>
          <w:sz w:val="24"/>
          <w:szCs w:val="24"/>
        </w:rPr>
        <w:t>godine</w:t>
      </w:r>
      <w:r w:rsidRPr="006A2B0F">
        <w:rPr>
          <w:rFonts w:ascii="Times New Roman" w:hAnsi="Times New Roman" w:cs="Times New Roman"/>
          <w:sz w:val="24"/>
          <w:szCs w:val="24"/>
        </w:rPr>
        <w:t>.</w:t>
      </w:r>
    </w:p>
    <w:p w14:paraId="732CE9B0" w14:textId="5A87DFC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Sadržaj </w:t>
      </w:r>
      <w:r w:rsidR="006804F2" w:rsidRPr="006A2B0F">
        <w:rPr>
          <w:rFonts w:ascii="Times New Roman" w:hAnsi="Times New Roman" w:cs="Times New Roman"/>
          <w:sz w:val="24"/>
          <w:szCs w:val="24"/>
        </w:rPr>
        <w:t>G</w:t>
      </w:r>
      <w:r w:rsidRPr="006A2B0F">
        <w:rPr>
          <w:rFonts w:ascii="Times New Roman" w:hAnsi="Times New Roman" w:cs="Times New Roman"/>
          <w:sz w:val="24"/>
          <w:szCs w:val="24"/>
        </w:rPr>
        <w:t xml:space="preserve">odišnjeg izvještaja o izvršenju </w:t>
      </w:r>
      <w:r w:rsidR="00577892" w:rsidRPr="006A2B0F">
        <w:rPr>
          <w:rFonts w:ascii="Times New Roman" w:hAnsi="Times New Roman" w:cs="Times New Roman"/>
          <w:sz w:val="24"/>
          <w:szCs w:val="24"/>
        </w:rPr>
        <w:t>F</w:t>
      </w:r>
      <w:r w:rsidRPr="006A2B0F">
        <w:rPr>
          <w:rFonts w:ascii="Times New Roman" w:hAnsi="Times New Roman" w:cs="Times New Roman"/>
          <w:sz w:val="24"/>
          <w:szCs w:val="24"/>
        </w:rPr>
        <w:t xml:space="preserve">inancijskog plana propisan je Pravilnikom o polugodišnjem i godišnjem izvještaju o izvršenju proračuna  („Narodne novine“ broj </w:t>
      </w:r>
      <w:r w:rsidR="00695678" w:rsidRPr="006A2B0F">
        <w:rPr>
          <w:rFonts w:ascii="Times New Roman" w:hAnsi="Times New Roman" w:cs="Times New Roman"/>
          <w:sz w:val="24"/>
          <w:szCs w:val="24"/>
        </w:rPr>
        <w:t>85</w:t>
      </w:r>
      <w:r w:rsidRPr="006A2B0F">
        <w:rPr>
          <w:rFonts w:ascii="Times New Roman" w:hAnsi="Times New Roman" w:cs="Times New Roman"/>
          <w:sz w:val="24"/>
          <w:szCs w:val="24"/>
        </w:rPr>
        <w:t>/</w:t>
      </w:r>
      <w:r w:rsidR="00695678" w:rsidRPr="006A2B0F">
        <w:rPr>
          <w:rFonts w:ascii="Times New Roman" w:hAnsi="Times New Roman" w:cs="Times New Roman"/>
          <w:sz w:val="24"/>
          <w:szCs w:val="24"/>
        </w:rPr>
        <w:t>2</w:t>
      </w:r>
      <w:r w:rsidRPr="006A2B0F">
        <w:rPr>
          <w:rFonts w:ascii="Times New Roman" w:hAnsi="Times New Roman" w:cs="Times New Roman"/>
          <w:sz w:val="24"/>
          <w:szCs w:val="24"/>
        </w:rPr>
        <w:t>3.</w:t>
      </w:r>
      <w:r w:rsidR="00535679" w:rsidRPr="006A2B0F">
        <w:rPr>
          <w:rFonts w:ascii="Times New Roman" w:hAnsi="Times New Roman" w:cs="Times New Roman"/>
          <w:sz w:val="24"/>
          <w:szCs w:val="24"/>
        </w:rPr>
        <w:t>)</w:t>
      </w:r>
      <w:r w:rsidRPr="006A2B0F">
        <w:rPr>
          <w:rFonts w:ascii="Times New Roman" w:hAnsi="Times New Roman" w:cs="Times New Roman"/>
          <w:sz w:val="24"/>
          <w:szCs w:val="24"/>
        </w:rPr>
        <w:t xml:space="preserve"> i Zakonom o proračunu („Narodne novine“ broj 144/21.). Godišnji izvještaj o izvršenju </w:t>
      </w:r>
      <w:r w:rsidR="00577892" w:rsidRPr="006A2B0F">
        <w:rPr>
          <w:rFonts w:ascii="Times New Roman" w:hAnsi="Times New Roman" w:cs="Times New Roman"/>
          <w:sz w:val="24"/>
          <w:szCs w:val="24"/>
        </w:rPr>
        <w:t>F</w:t>
      </w:r>
      <w:r w:rsidRPr="006A2B0F">
        <w:rPr>
          <w:rFonts w:ascii="Times New Roman" w:hAnsi="Times New Roman" w:cs="Times New Roman"/>
          <w:sz w:val="24"/>
          <w:szCs w:val="24"/>
        </w:rPr>
        <w:t>inancijskog plana PORE Regionalne razvojne agencije Koprivničko-križevačke županije za 202</w:t>
      </w:r>
      <w:r w:rsidR="00695678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 xml:space="preserve">. godinu daje prikaz ukupno ostvarenih prihoda i primitaka te rashoda i izdataka na razini ekonomske klasifikacije u Općem dijelu te njihovu raspodjelu po organizacijskoj i programskoj klasifikaciji u Posebnom dijelu proračuna. </w:t>
      </w:r>
    </w:p>
    <w:p w14:paraId="3ABA8C5A" w14:textId="479B12EA" w:rsidR="00803102" w:rsidRPr="006A2B0F" w:rsidRDefault="00803102" w:rsidP="00803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Prihodi te rashodi s izvršenjem za 202</w:t>
      </w:r>
      <w:r w:rsidR="00695678" w:rsidRPr="006A2B0F">
        <w:rPr>
          <w:rFonts w:ascii="Times New Roman" w:hAnsi="Times New Roman" w:cs="Times New Roman"/>
          <w:sz w:val="24"/>
          <w:szCs w:val="24"/>
        </w:rPr>
        <w:t>2</w:t>
      </w:r>
      <w:r w:rsidRPr="006A2B0F">
        <w:rPr>
          <w:rFonts w:ascii="Times New Roman" w:hAnsi="Times New Roman" w:cs="Times New Roman"/>
          <w:sz w:val="24"/>
          <w:szCs w:val="24"/>
        </w:rPr>
        <w:t>. i 202</w:t>
      </w:r>
      <w:r w:rsidR="00695678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>. godinu iskazani su u Tablici 7. i Grafikonu 1.</w:t>
      </w:r>
    </w:p>
    <w:p w14:paraId="3F89E7AA" w14:textId="3ABF055A" w:rsidR="00803102" w:rsidRPr="00D03252" w:rsidRDefault="00803102" w:rsidP="00D032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>Tablica 7. Pregled prihoda i rashoda ostvarenih u 202</w:t>
      </w:r>
      <w:r w:rsidR="00695678" w:rsidRPr="00D0325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03252">
        <w:rPr>
          <w:rFonts w:ascii="Times New Roman" w:hAnsi="Times New Roman" w:cs="Times New Roman"/>
          <w:i/>
          <w:iCs/>
          <w:sz w:val="24"/>
          <w:szCs w:val="24"/>
        </w:rPr>
        <w:t>. i 202</w:t>
      </w:r>
      <w:r w:rsidR="00695678" w:rsidRPr="00D0325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03252">
        <w:rPr>
          <w:rFonts w:ascii="Times New Roman" w:hAnsi="Times New Roman" w:cs="Times New Roman"/>
          <w:i/>
          <w:iCs/>
          <w:sz w:val="24"/>
          <w:szCs w:val="24"/>
        </w:rPr>
        <w:t>. godini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1843"/>
        <w:gridCol w:w="1843"/>
      </w:tblGrid>
      <w:tr w:rsidR="00803102" w:rsidRPr="006A2B0F" w14:paraId="24952CB7" w14:textId="77777777" w:rsidTr="00554E7D">
        <w:tc>
          <w:tcPr>
            <w:tcW w:w="3118" w:type="dxa"/>
            <w:shd w:val="clear" w:color="auto" w:fill="F2F2F2" w:themeFill="background1" w:themeFillShade="F2"/>
          </w:tcPr>
          <w:p w14:paraId="32225D0D" w14:textId="77777777" w:rsidR="00803102" w:rsidRPr="006A2B0F" w:rsidRDefault="00803102" w:rsidP="00C15C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B588C1E" w14:textId="41995889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</w:t>
            </w:r>
            <w:r w:rsidR="00695678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 godina (</w:t>
            </w:r>
            <w:r w:rsidR="00535679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EUR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045748" w14:textId="50DDB9AE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</w:t>
            </w:r>
            <w:r w:rsidR="00695678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 godina (</w:t>
            </w:r>
            <w:r w:rsidR="00535679"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EUR</w:t>
            </w: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)</w:t>
            </w:r>
          </w:p>
        </w:tc>
      </w:tr>
      <w:tr w:rsidR="00803102" w:rsidRPr="006A2B0F" w14:paraId="00980FDA" w14:textId="77777777" w:rsidTr="00C15CC1">
        <w:tc>
          <w:tcPr>
            <w:tcW w:w="3118" w:type="dxa"/>
          </w:tcPr>
          <w:p w14:paraId="09E12DDE" w14:textId="7AD6E878" w:rsidR="00803102" w:rsidRPr="006A2B0F" w:rsidRDefault="00803102" w:rsidP="00C15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</w:t>
            </w:r>
            <w:r w:rsidR="001D5521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</w:p>
        </w:tc>
        <w:tc>
          <w:tcPr>
            <w:tcW w:w="1843" w:type="dxa"/>
          </w:tcPr>
          <w:p w14:paraId="1EA958C5" w14:textId="1C633CAC" w:rsidR="00803102" w:rsidRPr="006A2B0F" w:rsidRDefault="00324F7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639.666,03</w:t>
            </w:r>
          </w:p>
        </w:tc>
        <w:tc>
          <w:tcPr>
            <w:tcW w:w="1843" w:type="dxa"/>
          </w:tcPr>
          <w:p w14:paraId="61BF3D1B" w14:textId="4EDA9FCF" w:rsidR="00803102" w:rsidRPr="006A2B0F" w:rsidRDefault="00324F7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719.312,84</w:t>
            </w:r>
          </w:p>
        </w:tc>
      </w:tr>
      <w:tr w:rsidR="00803102" w:rsidRPr="006A2B0F" w14:paraId="6DE25056" w14:textId="77777777" w:rsidTr="00C15CC1">
        <w:tc>
          <w:tcPr>
            <w:tcW w:w="3118" w:type="dxa"/>
          </w:tcPr>
          <w:p w14:paraId="64A4C5E8" w14:textId="77777777" w:rsidR="00803102" w:rsidRPr="006A2B0F" w:rsidRDefault="00803102" w:rsidP="00C15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1843" w:type="dxa"/>
          </w:tcPr>
          <w:p w14:paraId="20493977" w14:textId="02CAE1BD" w:rsidR="00803102" w:rsidRPr="006A2B0F" w:rsidRDefault="00324F7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591</w:t>
            </w:r>
            <w:r w:rsidR="00803102"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644,71</w:t>
            </w:r>
          </w:p>
        </w:tc>
        <w:tc>
          <w:tcPr>
            <w:tcW w:w="1843" w:type="dxa"/>
          </w:tcPr>
          <w:p w14:paraId="342E438D" w14:textId="5296C576" w:rsidR="00803102" w:rsidRPr="006A2B0F" w:rsidRDefault="00324F76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720.666,94</w:t>
            </w:r>
          </w:p>
        </w:tc>
      </w:tr>
    </w:tbl>
    <w:p w14:paraId="1E30E476" w14:textId="21A136C3" w:rsidR="00803102" w:rsidRPr="006A2B0F" w:rsidRDefault="00803102" w:rsidP="007D74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21FB2C" w14:textId="44DCDE7F" w:rsidR="00803102" w:rsidRPr="00292C90" w:rsidRDefault="00803102" w:rsidP="00292C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C90">
        <w:rPr>
          <w:rFonts w:ascii="Times New Roman" w:hAnsi="Times New Roman" w:cs="Times New Roman"/>
          <w:i/>
          <w:iCs/>
          <w:sz w:val="24"/>
          <w:szCs w:val="24"/>
        </w:rPr>
        <w:t>Grafikon 1. Usporedba prihoda i rashoda za 202</w:t>
      </w:r>
      <w:r w:rsidR="00324F76" w:rsidRPr="00292C9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92C90">
        <w:rPr>
          <w:rFonts w:ascii="Times New Roman" w:hAnsi="Times New Roman" w:cs="Times New Roman"/>
          <w:i/>
          <w:iCs/>
          <w:sz w:val="24"/>
          <w:szCs w:val="24"/>
        </w:rPr>
        <w:t>. i 202</w:t>
      </w:r>
      <w:r w:rsidR="00324F76" w:rsidRPr="00292C9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92C90">
        <w:rPr>
          <w:rFonts w:ascii="Times New Roman" w:hAnsi="Times New Roman" w:cs="Times New Roman"/>
          <w:i/>
          <w:iCs/>
          <w:sz w:val="24"/>
          <w:szCs w:val="24"/>
        </w:rPr>
        <w:t>. godinu</w:t>
      </w:r>
    </w:p>
    <w:p w14:paraId="1607A863" w14:textId="5D32758A" w:rsidR="00B92D8B" w:rsidRPr="006A2B0F" w:rsidRDefault="00FF7749" w:rsidP="0080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noProof/>
        </w:rPr>
        <w:drawing>
          <wp:inline distT="0" distB="0" distL="0" distR="0" wp14:anchorId="73D428E3" wp14:editId="6EA5803C">
            <wp:extent cx="4162425" cy="1943100"/>
            <wp:effectExtent l="0" t="0" r="9525" b="0"/>
            <wp:docPr id="112527236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5AC47635-4705-42BB-BCBC-C57A190361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D19264" w14:textId="49E6F2BA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A347A" w14:textId="1A619F5A" w:rsidR="00803102" w:rsidRPr="006A2B0F" w:rsidRDefault="00423482" w:rsidP="001D5521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3.1.</w:t>
      </w:r>
      <w:r w:rsidR="001D5521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PRIHODI</w:t>
      </w:r>
    </w:p>
    <w:p w14:paraId="7E9C0A0D" w14:textId="13440538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>U razdoblju od 01.01. do 31.12.202</w:t>
      </w:r>
      <w:r w:rsidR="00B92D8B" w:rsidRPr="006A2B0F">
        <w:rPr>
          <w:rFonts w:ascii="Times New Roman" w:hAnsi="Times New Roman"/>
          <w:sz w:val="24"/>
          <w:szCs w:val="24"/>
        </w:rPr>
        <w:t>3</w:t>
      </w:r>
      <w:r w:rsidRPr="006A2B0F">
        <w:rPr>
          <w:rFonts w:ascii="Times New Roman" w:hAnsi="Times New Roman"/>
          <w:sz w:val="24"/>
          <w:szCs w:val="24"/>
        </w:rPr>
        <w:t xml:space="preserve">. godine </w:t>
      </w:r>
      <w:r w:rsidR="00832B28">
        <w:rPr>
          <w:rFonts w:ascii="Times New Roman" w:hAnsi="Times New Roman"/>
          <w:sz w:val="24"/>
          <w:szCs w:val="24"/>
        </w:rPr>
        <w:t>PORA Regionalna razvojna</w:t>
      </w:r>
      <w:r w:rsidRPr="006A2B0F">
        <w:rPr>
          <w:rFonts w:ascii="Times New Roman" w:hAnsi="Times New Roman"/>
          <w:sz w:val="24"/>
          <w:szCs w:val="24"/>
        </w:rPr>
        <w:t xml:space="preserve"> agencija</w:t>
      </w:r>
      <w:r w:rsidR="00832B28">
        <w:rPr>
          <w:rFonts w:ascii="Times New Roman" w:hAnsi="Times New Roman"/>
          <w:sz w:val="24"/>
          <w:szCs w:val="24"/>
        </w:rPr>
        <w:t xml:space="preserve"> Koprivničko-križevačke županije (u daljnjem tekstu: Razvojna agencija PORA KKŽ)</w:t>
      </w:r>
      <w:r w:rsidRPr="006A2B0F">
        <w:rPr>
          <w:rFonts w:ascii="Times New Roman" w:hAnsi="Times New Roman"/>
          <w:sz w:val="24"/>
          <w:szCs w:val="24"/>
        </w:rPr>
        <w:t xml:space="preserve"> ostvarila je prihode u iznosu od </w:t>
      </w:r>
      <w:r w:rsidR="00B92D8B" w:rsidRPr="006A2B0F">
        <w:rPr>
          <w:rFonts w:ascii="Times New Roman" w:hAnsi="Times New Roman"/>
          <w:b/>
          <w:bCs/>
          <w:sz w:val="24"/>
          <w:szCs w:val="24"/>
        </w:rPr>
        <w:t>719.312,84</w:t>
      </w:r>
      <w:r w:rsidRPr="006A2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2D8B" w:rsidRPr="006A2B0F">
        <w:rPr>
          <w:rFonts w:ascii="Times New Roman" w:hAnsi="Times New Roman"/>
          <w:b/>
          <w:bCs/>
          <w:sz w:val="24"/>
          <w:szCs w:val="24"/>
        </w:rPr>
        <w:t>eura</w:t>
      </w:r>
      <w:r w:rsidRPr="006A2B0F">
        <w:rPr>
          <w:rFonts w:ascii="Times New Roman" w:hAnsi="Times New Roman"/>
          <w:b/>
          <w:bCs/>
          <w:sz w:val="24"/>
          <w:szCs w:val="24"/>
        </w:rPr>
        <w:t xml:space="preserve"> što iznosi </w:t>
      </w:r>
      <w:r w:rsidR="00B92D8B" w:rsidRPr="006A2B0F">
        <w:rPr>
          <w:rFonts w:ascii="Times New Roman" w:hAnsi="Times New Roman"/>
          <w:b/>
          <w:bCs/>
          <w:sz w:val="24"/>
          <w:szCs w:val="24"/>
        </w:rPr>
        <w:t>79,81</w:t>
      </w:r>
      <w:r w:rsidRPr="006A2B0F">
        <w:rPr>
          <w:rFonts w:ascii="Times New Roman" w:hAnsi="Times New Roman"/>
          <w:b/>
          <w:bCs/>
          <w:sz w:val="24"/>
          <w:szCs w:val="24"/>
        </w:rPr>
        <w:t xml:space="preserve">% </w:t>
      </w:r>
      <w:r w:rsidRPr="006A2B0F">
        <w:rPr>
          <w:rFonts w:ascii="Times New Roman" w:hAnsi="Times New Roman"/>
          <w:sz w:val="24"/>
          <w:szCs w:val="24"/>
        </w:rPr>
        <w:t>ukupno planiranih tekućih prihoda za 202</w:t>
      </w:r>
      <w:r w:rsidR="00B92D8B" w:rsidRPr="006A2B0F">
        <w:rPr>
          <w:rFonts w:ascii="Times New Roman" w:hAnsi="Times New Roman"/>
          <w:sz w:val="24"/>
          <w:szCs w:val="24"/>
        </w:rPr>
        <w:t>3</w:t>
      </w:r>
      <w:r w:rsidRPr="006A2B0F">
        <w:rPr>
          <w:rFonts w:ascii="Times New Roman" w:hAnsi="Times New Roman"/>
          <w:sz w:val="24"/>
          <w:szCs w:val="24"/>
        </w:rPr>
        <w:t xml:space="preserve">. godinu. </w:t>
      </w:r>
    </w:p>
    <w:p w14:paraId="3AC90A53" w14:textId="14D41BC4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>Iz Proračuna Koprivničko-križevačke županije</w:t>
      </w:r>
      <w:r w:rsidR="00E736A0">
        <w:rPr>
          <w:rFonts w:ascii="Times New Roman" w:hAnsi="Times New Roman"/>
          <w:sz w:val="24"/>
          <w:szCs w:val="24"/>
        </w:rPr>
        <w:t xml:space="preserve"> (u daljnjem tekstu: KKŽ)</w:t>
      </w:r>
      <w:r w:rsidRPr="006A2B0F">
        <w:rPr>
          <w:rFonts w:ascii="Times New Roman" w:hAnsi="Times New Roman"/>
          <w:sz w:val="24"/>
          <w:szCs w:val="24"/>
        </w:rPr>
        <w:t xml:space="preserve"> ostvareno je ukupno </w:t>
      </w:r>
      <w:r w:rsidR="00B92D8B" w:rsidRPr="006A2B0F">
        <w:rPr>
          <w:rFonts w:ascii="Times New Roman" w:hAnsi="Times New Roman"/>
          <w:sz w:val="24"/>
          <w:szCs w:val="24"/>
        </w:rPr>
        <w:t>295.662,90 eura</w:t>
      </w:r>
      <w:r w:rsidRPr="006A2B0F">
        <w:rPr>
          <w:rFonts w:ascii="Times New Roman" w:hAnsi="Times New Roman"/>
          <w:sz w:val="24"/>
          <w:szCs w:val="24"/>
        </w:rPr>
        <w:t xml:space="preserve"> odnosno </w:t>
      </w:r>
      <w:r w:rsidR="00B92D8B" w:rsidRPr="006A2B0F">
        <w:rPr>
          <w:rFonts w:ascii="Times New Roman" w:hAnsi="Times New Roman"/>
          <w:sz w:val="24"/>
          <w:szCs w:val="24"/>
        </w:rPr>
        <w:t>84,99</w:t>
      </w:r>
      <w:r w:rsidRPr="006A2B0F">
        <w:rPr>
          <w:rFonts w:ascii="Times New Roman" w:hAnsi="Times New Roman"/>
          <w:sz w:val="24"/>
          <w:szCs w:val="24"/>
        </w:rPr>
        <w:t xml:space="preserve">% planiranih prihoda iz Proračuna </w:t>
      </w:r>
      <w:r w:rsidR="00E736A0">
        <w:rPr>
          <w:rFonts w:ascii="Times New Roman" w:hAnsi="Times New Roman"/>
          <w:sz w:val="24"/>
          <w:szCs w:val="24"/>
        </w:rPr>
        <w:t>KKŽ</w:t>
      </w:r>
      <w:r w:rsidRPr="006A2B0F">
        <w:rPr>
          <w:rFonts w:ascii="Times New Roman" w:hAnsi="Times New Roman"/>
          <w:sz w:val="24"/>
          <w:szCs w:val="24"/>
        </w:rPr>
        <w:t xml:space="preserve"> ili </w:t>
      </w:r>
      <w:r w:rsidR="006E3FEB" w:rsidRPr="006A2B0F">
        <w:rPr>
          <w:rFonts w:ascii="Times New Roman" w:hAnsi="Times New Roman"/>
          <w:sz w:val="24"/>
          <w:szCs w:val="24"/>
        </w:rPr>
        <w:t>41,10</w:t>
      </w:r>
      <w:r w:rsidRPr="006A2B0F">
        <w:rPr>
          <w:rFonts w:ascii="Times New Roman" w:hAnsi="Times New Roman"/>
          <w:sz w:val="24"/>
          <w:szCs w:val="24"/>
        </w:rPr>
        <w:t xml:space="preserve">% ukupno ostvarenih prihoda. Za financiranje redovne djelatnosti i sufinanciranje provedbe EU projekata Razvojne agencije PORE KKŽ iz Proračuna </w:t>
      </w:r>
      <w:r w:rsidR="00E736A0">
        <w:rPr>
          <w:rFonts w:ascii="Times New Roman" w:hAnsi="Times New Roman"/>
          <w:sz w:val="24"/>
          <w:szCs w:val="24"/>
        </w:rPr>
        <w:t>KKŽ</w:t>
      </w:r>
      <w:r w:rsidRPr="006A2B0F">
        <w:rPr>
          <w:rFonts w:ascii="Times New Roman" w:hAnsi="Times New Roman"/>
          <w:sz w:val="24"/>
          <w:szCs w:val="24"/>
        </w:rPr>
        <w:t xml:space="preserve"> ostvareno je </w:t>
      </w:r>
      <w:r w:rsidR="006E3FEB" w:rsidRPr="006A2B0F">
        <w:rPr>
          <w:rFonts w:ascii="Times New Roman" w:hAnsi="Times New Roman"/>
          <w:sz w:val="24"/>
          <w:szCs w:val="24"/>
        </w:rPr>
        <w:t>238.135,03</w:t>
      </w:r>
      <w:r w:rsidRPr="006A2B0F">
        <w:rPr>
          <w:rFonts w:ascii="Times New Roman" w:hAnsi="Times New Roman"/>
          <w:sz w:val="24"/>
          <w:szCs w:val="24"/>
        </w:rPr>
        <w:t xml:space="preserve"> </w:t>
      </w:r>
      <w:r w:rsidR="005A7CE4" w:rsidRPr="006A2B0F">
        <w:rPr>
          <w:rFonts w:ascii="Times New Roman" w:hAnsi="Times New Roman"/>
          <w:sz w:val="24"/>
          <w:szCs w:val="24"/>
        </w:rPr>
        <w:t>eura</w:t>
      </w:r>
      <w:r w:rsidRPr="006A2B0F">
        <w:rPr>
          <w:rFonts w:ascii="Times New Roman" w:hAnsi="Times New Roman"/>
          <w:sz w:val="24"/>
          <w:szCs w:val="24"/>
        </w:rPr>
        <w:t xml:space="preserve"> ili </w:t>
      </w:r>
      <w:r w:rsidR="006E3FEB" w:rsidRPr="006A2B0F">
        <w:rPr>
          <w:rFonts w:ascii="Times New Roman" w:hAnsi="Times New Roman"/>
          <w:sz w:val="24"/>
          <w:szCs w:val="24"/>
        </w:rPr>
        <w:t>82,50</w:t>
      </w:r>
      <w:r w:rsidRPr="006A2B0F">
        <w:rPr>
          <w:rFonts w:ascii="Times New Roman" w:hAnsi="Times New Roman"/>
          <w:sz w:val="24"/>
          <w:szCs w:val="24"/>
        </w:rPr>
        <w:t>%</w:t>
      </w:r>
      <w:r w:rsidR="00B8585F" w:rsidRPr="006A2B0F">
        <w:rPr>
          <w:rFonts w:ascii="Times New Roman" w:hAnsi="Times New Roman"/>
          <w:sz w:val="24"/>
          <w:szCs w:val="24"/>
        </w:rPr>
        <w:t xml:space="preserve"> planiranih sredstava</w:t>
      </w:r>
      <w:r w:rsidRPr="006A2B0F">
        <w:rPr>
          <w:rFonts w:ascii="Times New Roman" w:hAnsi="Times New Roman"/>
          <w:sz w:val="24"/>
          <w:szCs w:val="24"/>
        </w:rPr>
        <w:t xml:space="preserve">, dok je za predfinanciranje EU projekata ostvareno </w:t>
      </w:r>
      <w:r w:rsidR="006E3FEB" w:rsidRPr="006A2B0F">
        <w:rPr>
          <w:rFonts w:ascii="Times New Roman" w:hAnsi="Times New Roman"/>
          <w:sz w:val="24"/>
          <w:szCs w:val="24"/>
        </w:rPr>
        <w:t>5</w:t>
      </w:r>
      <w:r w:rsidR="008B5691" w:rsidRPr="006A2B0F">
        <w:rPr>
          <w:rFonts w:ascii="Times New Roman" w:hAnsi="Times New Roman"/>
          <w:sz w:val="24"/>
          <w:szCs w:val="24"/>
        </w:rPr>
        <w:t>7.527,87</w:t>
      </w:r>
      <w:r w:rsidRPr="006A2B0F">
        <w:rPr>
          <w:rFonts w:ascii="Times New Roman" w:hAnsi="Times New Roman"/>
          <w:sz w:val="24"/>
          <w:szCs w:val="24"/>
        </w:rPr>
        <w:t xml:space="preserve"> </w:t>
      </w:r>
      <w:r w:rsidR="005A7CE4" w:rsidRPr="006A2B0F">
        <w:rPr>
          <w:rFonts w:ascii="Times New Roman" w:hAnsi="Times New Roman"/>
          <w:sz w:val="24"/>
          <w:szCs w:val="24"/>
        </w:rPr>
        <w:t>eura</w:t>
      </w:r>
      <w:r w:rsidRPr="006A2B0F">
        <w:rPr>
          <w:rFonts w:ascii="Times New Roman" w:hAnsi="Times New Roman"/>
          <w:sz w:val="24"/>
          <w:szCs w:val="24"/>
        </w:rPr>
        <w:t xml:space="preserve"> ili </w:t>
      </w:r>
      <w:r w:rsidR="006E3FEB" w:rsidRPr="006A2B0F">
        <w:rPr>
          <w:rFonts w:ascii="Times New Roman" w:hAnsi="Times New Roman"/>
          <w:sz w:val="24"/>
          <w:szCs w:val="24"/>
        </w:rPr>
        <w:t>97,14</w:t>
      </w:r>
      <w:r w:rsidRPr="006A2B0F">
        <w:rPr>
          <w:rFonts w:ascii="Times New Roman" w:hAnsi="Times New Roman"/>
          <w:sz w:val="24"/>
          <w:szCs w:val="24"/>
        </w:rPr>
        <w:t>% planiranih sredstava.</w:t>
      </w:r>
    </w:p>
    <w:p w14:paraId="400E4E74" w14:textId="0FC8F39E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 xml:space="preserve">Prihodi ostvareni temeljem provedbe EU projekata iz sredstava EU ostvareni su u iznosu </w:t>
      </w:r>
      <w:r w:rsidR="006E3FEB" w:rsidRPr="006A2B0F">
        <w:rPr>
          <w:rFonts w:ascii="Times New Roman" w:hAnsi="Times New Roman"/>
          <w:sz w:val="24"/>
          <w:szCs w:val="24"/>
        </w:rPr>
        <w:t>423.352,82 eura</w:t>
      </w:r>
      <w:r w:rsidRPr="006A2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B0F">
        <w:rPr>
          <w:rFonts w:ascii="Times New Roman" w:hAnsi="Times New Roman"/>
          <w:sz w:val="24"/>
          <w:szCs w:val="24"/>
        </w:rPr>
        <w:t xml:space="preserve">što iznosi </w:t>
      </w:r>
      <w:r w:rsidR="006E3FEB" w:rsidRPr="006A2B0F">
        <w:rPr>
          <w:rFonts w:ascii="Times New Roman" w:hAnsi="Times New Roman"/>
          <w:sz w:val="24"/>
          <w:szCs w:val="24"/>
        </w:rPr>
        <w:t>76,60</w:t>
      </w:r>
      <w:r w:rsidRPr="006A2B0F">
        <w:rPr>
          <w:rFonts w:ascii="Times New Roman" w:hAnsi="Times New Roman"/>
          <w:sz w:val="24"/>
          <w:szCs w:val="24"/>
        </w:rPr>
        <w:t>% ostvarenih planiranih prihoda iz EU sredstava za 202</w:t>
      </w:r>
      <w:r w:rsidR="006E3FEB" w:rsidRPr="006A2B0F">
        <w:rPr>
          <w:rFonts w:ascii="Times New Roman" w:hAnsi="Times New Roman"/>
          <w:sz w:val="24"/>
          <w:szCs w:val="24"/>
        </w:rPr>
        <w:t>3</w:t>
      </w:r>
      <w:r w:rsidRPr="006A2B0F">
        <w:rPr>
          <w:rFonts w:ascii="Times New Roman" w:hAnsi="Times New Roman"/>
          <w:sz w:val="24"/>
          <w:szCs w:val="24"/>
        </w:rPr>
        <w:t xml:space="preserve">. godinu, odnosno </w:t>
      </w:r>
      <w:r w:rsidR="006E3FEB" w:rsidRPr="006A2B0F">
        <w:rPr>
          <w:rFonts w:ascii="Times New Roman" w:hAnsi="Times New Roman"/>
          <w:sz w:val="24"/>
          <w:szCs w:val="24"/>
        </w:rPr>
        <w:t>58,86</w:t>
      </w:r>
      <w:r w:rsidRPr="006A2B0F">
        <w:rPr>
          <w:rFonts w:ascii="Times New Roman" w:hAnsi="Times New Roman"/>
          <w:sz w:val="24"/>
          <w:szCs w:val="24"/>
        </w:rPr>
        <w:t>% od ukupno ostvarenih prihoda. Prihodi od EU ostvareni su temeljem provedbe projekata „UZ PORU PO POTPORU“, B Light i „Europe Direct Koprivničko-križevačke županije“.</w:t>
      </w:r>
    </w:p>
    <w:p w14:paraId="431854A0" w14:textId="77777777" w:rsidR="006E3FEB" w:rsidRPr="006A2B0F" w:rsidRDefault="006E3FEB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C148E" w14:textId="24B4C8F4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U 202</w:t>
      </w:r>
      <w:r w:rsidR="006E3FEB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>. godin</w:t>
      </w:r>
      <w:r w:rsidR="00B8585F" w:rsidRPr="006A2B0F">
        <w:rPr>
          <w:rFonts w:ascii="Times New Roman" w:hAnsi="Times New Roman" w:cs="Times New Roman"/>
          <w:sz w:val="24"/>
          <w:szCs w:val="24"/>
        </w:rPr>
        <w:t>i</w:t>
      </w:r>
      <w:r w:rsidRPr="006A2B0F">
        <w:rPr>
          <w:rFonts w:ascii="Times New Roman" w:hAnsi="Times New Roman" w:cs="Times New Roman"/>
          <w:sz w:val="24"/>
          <w:szCs w:val="24"/>
        </w:rPr>
        <w:t xml:space="preserve"> ostvaren je </w:t>
      </w:r>
      <w:r w:rsidRPr="006A2B0F">
        <w:rPr>
          <w:rFonts w:ascii="Times New Roman" w:hAnsi="Times New Roman"/>
          <w:sz w:val="24"/>
          <w:szCs w:val="24"/>
        </w:rPr>
        <w:t xml:space="preserve">prihod </w:t>
      </w:r>
      <w:r w:rsidR="006E3FEB" w:rsidRPr="006A2B0F">
        <w:rPr>
          <w:rFonts w:ascii="Times New Roman" w:hAnsi="Times New Roman"/>
          <w:sz w:val="24"/>
          <w:szCs w:val="24"/>
        </w:rPr>
        <w:t>od naknade s osnove osiguranja u iznosu od 296,90 eura ili 44,98% planiranih prihoda iz tog izvora, odnosno 0,04% od ukupno ostvarenih prihoda te  neznatan prihod od f</w:t>
      </w:r>
      <w:r w:rsidRPr="006A2B0F">
        <w:rPr>
          <w:rFonts w:ascii="Times New Roman" w:hAnsi="Times New Roman"/>
          <w:sz w:val="24"/>
          <w:szCs w:val="24"/>
        </w:rPr>
        <w:t xml:space="preserve">inancijske imovine u iznosu od </w:t>
      </w:r>
      <w:r w:rsidR="006E3FEB" w:rsidRPr="006A2B0F">
        <w:rPr>
          <w:rFonts w:ascii="Times New Roman" w:hAnsi="Times New Roman"/>
          <w:sz w:val="24"/>
          <w:szCs w:val="24"/>
        </w:rPr>
        <w:t>0,22 eura.</w:t>
      </w:r>
      <w:r w:rsidRPr="006A2B0F">
        <w:rPr>
          <w:rFonts w:ascii="Times New Roman" w:hAnsi="Times New Roman"/>
          <w:sz w:val="24"/>
          <w:szCs w:val="24"/>
        </w:rPr>
        <w:t xml:space="preserve"> </w:t>
      </w:r>
    </w:p>
    <w:p w14:paraId="5C24039A" w14:textId="77777777" w:rsidR="003E456B" w:rsidRPr="006A2B0F" w:rsidRDefault="003E456B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C8225" w14:textId="421D2723" w:rsidR="00803102" w:rsidRPr="00D03252" w:rsidRDefault="006E3FEB" w:rsidP="00803102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03102" w:rsidRPr="00D03252">
        <w:rPr>
          <w:rFonts w:ascii="Times New Roman" w:hAnsi="Times New Roman" w:cs="Times New Roman"/>
          <w:i/>
          <w:iCs/>
          <w:sz w:val="24"/>
          <w:szCs w:val="24"/>
        </w:rPr>
        <w:t xml:space="preserve">ablica 8. Prikaz prihoda prema strukturi </w:t>
      </w:r>
    </w:p>
    <w:tbl>
      <w:tblPr>
        <w:tblStyle w:val="TableGrid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559"/>
        <w:gridCol w:w="1418"/>
        <w:gridCol w:w="1134"/>
        <w:gridCol w:w="1276"/>
        <w:gridCol w:w="1276"/>
      </w:tblGrid>
      <w:tr w:rsidR="00803102" w:rsidRPr="006A2B0F" w14:paraId="0FAC7E40" w14:textId="77777777" w:rsidTr="00554E7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9868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PRIHODI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BC981" w14:textId="26D9BCEF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Izvršenje 202</w:t>
            </w:r>
            <w:r w:rsidR="006E3FEB" w:rsidRPr="006A2B0F">
              <w:rPr>
                <w:rFonts w:ascii="Times New Roman" w:hAnsi="Times New Roman" w:cs="Times New Roman"/>
                <w:b/>
                <w:lang w:val="hr-HR"/>
              </w:rPr>
              <w:t>2</w:t>
            </w:r>
            <w:r w:rsidRPr="006A2B0F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E447C" w14:textId="7D68A0AD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Izvorni</w:t>
            </w:r>
            <w:r w:rsidR="00745BC2" w:rsidRPr="006A2B0F">
              <w:rPr>
                <w:rFonts w:ascii="Times New Roman" w:hAnsi="Times New Roman" w:cs="Times New Roman"/>
                <w:b/>
                <w:lang w:val="hr-HR"/>
              </w:rPr>
              <w:t>/tekući</w:t>
            </w:r>
            <w:r w:rsidRPr="006A2B0F">
              <w:rPr>
                <w:rFonts w:ascii="Times New Roman" w:hAnsi="Times New Roman" w:cs="Times New Roman"/>
                <w:b/>
                <w:lang w:val="hr-HR"/>
              </w:rPr>
              <w:t xml:space="preserve"> plan za proračunsku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F63517" w14:textId="3707C981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Izvršenje 202</w:t>
            </w:r>
            <w:r w:rsidR="006E3FEB" w:rsidRPr="006A2B0F">
              <w:rPr>
                <w:rFonts w:ascii="Times New Roman" w:hAnsi="Times New Roman" w:cs="Times New Roman"/>
                <w:b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FB0B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Indeks</w:t>
            </w:r>
          </w:p>
          <w:p w14:paraId="2A0B0B9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 xml:space="preserve"> 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9432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 xml:space="preserve">Indeks </w:t>
            </w:r>
          </w:p>
          <w:p w14:paraId="3822F794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0C7A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 xml:space="preserve">Struktura ostvarenih prihoda </w:t>
            </w:r>
          </w:p>
          <w:p w14:paraId="57771D51" w14:textId="260C2AA3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6E3FEB" w:rsidRPr="006A2B0F">
              <w:rPr>
                <w:rFonts w:ascii="Times New Roman" w:hAnsi="Times New Roman" w:cs="Times New Roman"/>
                <w:b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</w:tr>
      <w:tr w:rsidR="00803102" w:rsidRPr="006A2B0F" w14:paraId="1C456032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1E3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7E9F6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7753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43C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B1AD7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17E4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366B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</w:tr>
      <w:tr w:rsidR="00803102" w:rsidRPr="006A2B0F" w14:paraId="3FF13526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FEB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1. PRORAČUN KKŽ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7539" w14:textId="679449B4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207.288,74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728" w14:textId="567FA369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347.865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7F49" w14:textId="67B1E9F1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295.662,90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7D9" w14:textId="742F701A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142,63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8AEC" w14:textId="46760DDE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84,99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DDB" w14:textId="4F5957AB" w:rsidR="00803102" w:rsidRPr="006A2B0F" w:rsidRDefault="006B6248" w:rsidP="00C15CC1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41,10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</w:tr>
      <w:tr w:rsidR="00803102" w:rsidRPr="006A2B0F" w14:paraId="78B1659E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8E6" w14:textId="77777777" w:rsidR="00803102" w:rsidRPr="006A2B0F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 xml:space="preserve">1.1. Proračun KKŽ – redovno        poslovanje i sufinanciranje EU </w:t>
            </w:r>
            <w:r w:rsidRPr="006A2B0F">
              <w:rPr>
                <w:rFonts w:ascii="Times New Roman" w:hAnsi="Times New Roman" w:cs="Times New Roman"/>
                <w:bCs/>
                <w:lang w:val="hr-HR"/>
              </w:rPr>
              <w:br/>
              <w:t>projekata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E15" w14:textId="22A11280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157.775,77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5CE5" w14:textId="4877F7BF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288.645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78AF" w14:textId="6A54086E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238.135,03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B3F4" w14:textId="0A50C2EB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150,93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8482" w14:textId="049688FA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82,50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C96" w14:textId="5C873040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33,1</w:t>
            </w:r>
            <w:r w:rsidR="006B6248" w:rsidRPr="006A2B0F">
              <w:rPr>
                <w:rFonts w:ascii="Times New Roman" w:hAnsi="Times New Roman" w:cs="Times New Roman"/>
                <w:lang w:val="hr-HR"/>
              </w:rPr>
              <w:t>0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</w:tr>
      <w:tr w:rsidR="00803102" w:rsidRPr="006A2B0F" w14:paraId="63717B7E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844" w14:textId="06A443F1" w:rsidR="00803102" w:rsidRPr="006A2B0F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1.9. Proračun KKŽ – predfinanciranje EU projek</w:t>
            </w:r>
            <w:r w:rsidR="001322D9" w:rsidRPr="006A2B0F"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Pr="006A2B0F">
              <w:rPr>
                <w:rFonts w:ascii="Times New Roman" w:hAnsi="Times New Roman" w:cs="Times New Roman"/>
                <w:bCs/>
                <w:lang w:val="hr-HR"/>
              </w:rPr>
              <w:t xml:space="preserve">ta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AF0" w14:textId="39F8729F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49.512,97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1B0" w14:textId="47978DED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59.220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EC5" w14:textId="65EFBBF9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57.527,87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1285" w14:textId="5444933E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116,19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66A9" w14:textId="2CB75555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97,14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50D0" w14:textId="598BA95E" w:rsidR="00803102" w:rsidRPr="006A2B0F" w:rsidRDefault="006B624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8,00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  <w:p w14:paraId="33411939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803102" w:rsidRPr="006A2B0F" w14:paraId="2482A8A6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E2C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lang w:val="hr-HR"/>
              </w:rPr>
              <w:t>2. EU PROJEKTI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8F4" w14:textId="305F28D5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432.376,94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09C" w14:textId="27A6037B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552.678,00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BD97" w14:textId="631F2635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423.352,82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72F" w14:textId="32C8959E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97,91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1F0" w14:textId="3ECE514A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76,60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230" w14:textId="62D36F66" w:rsidR="00803102" w:rsidRPr="006A2B0F" w:rsidRDefault="006B6248" w:rsidP="00C15CC1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58,86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</w:tr>
      <w:tr w:rsidR="00803102" w:rsidRPr="006A2B0F" w14:paraId="76AC030D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0A5" w14:textId="77777777" w:rsidR="00803102" w:rsidRPr="006A2B0F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 xml:space="preserve">2.1. Prihodi iz državnog proračuna </w:t>
            </w:r>
            <w:r w:rsidRPr="006A2B0F">
              <w:rPr>
                <w:rFonts w:ascii="Times New Roman" w:hAnsi="Times New Roman" w:cs="Times New Roman"/>
                <w:bCs/>
                <w:lang w:val="hr-HR"/>
              </w:rPr>
              <w:br/>
              <w:t>temeljem prijenosa EU sredstava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59B4" w14:textId="6697F870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353.913,42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71D" w14:textId="51BC6171" w:rsidR="00803102" w:rsidRPr="006A2B0F" w:rsidRDefault="00613EC4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501.183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AA45" w14:textId="21133189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347.759,10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DE87" w14:textId="639C6CA2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98,26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A320" w14:textId="45FB2887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69,39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AC5" w14:textId="63634F4C" w:rsidR="00803102" w:rsidRPr="006A2B0F" w:rsidRDefault="006B6248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48,35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</w:tr>
      <w:tr w:rsidR="00803102" w:rsidRPr="006A2B0F" w14:paraId="3BE9CB8B" w14:textId="77777777" w:rsidTr="0005264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6FE" w14:textId="3C88322A" w:rsidR="00803102" w:rsidRPr="006A2B0F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2.</w:t>
            </w:r>
            <w:r w:rsidR="00052648" w:rsidRPr="006A2B0F">
              <w:rPr>
                <w:rFonts w:ascii="Times New Roman" w:hAnsi="Times New Roman" w:cs="Times New Roman"/>
                <w:bCs/>
                <w:lang w:val="hr-HR"/>
              </w:rPr>
              <w:t>2</w:t>
            </w:r>
            <w:r w:rsidRPr="006A2B0F">
              <w:rPr>
                <w:rFonts w:ascii="Times New Roman" w:hAnsi="Times New Roman" w:cs="Times New Roman"/>
                <w:bCs/>
                <w:lang w:val="hr-HR"/>
              </w:rPr>
              <w:t>. Prihodi od kapitalnih pomoći iz državnog proračuna temeljem prijenosa EU sredstava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C7F" w14:textId="6D7A78E1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10.399,24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640" w14:textId="2023571A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15.240,00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5797" w14:textId="234AA0CF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11.460,30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CE3" w14:textId="73130D7B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110,20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2EC" w14:textId="0295A80F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75,20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B522" w14:textId="7464275C" w:rsidR="00803102" w:rsidRPr="006A2B0F" w:rsidRDefault="006B6248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1,59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</w:tr>
      <w:tr w:rsidR="00803102" w:rsidRPr="006A2B0F" w14:paraId="742E8A88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672" w14:textId="292E7156" w:rsidR="00803102" w:rsidRPr="006A2B0F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2.</w:t>
            </w:r>
            <w:r w:rsidR="00052648" w:rsidRPr="006A2B0F">
              <w:rPr>
                <w:rFonts w:ascii="Times New Roman" w:hAnsi="Times New Roman" w:cs="Times New Roman"/>
                <w:bCs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Cs/>
                <w:lang w:val="hr-HR"/>
              </w:rPr>
              <w:t>. Prihodi od tekućih pomoći od institucija i tijela EU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9D1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575" w14:textId="0C2C0421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36.255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BBA1" w14:textId="2C543436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64.133,42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5F7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4A3B" w14:textId="6298D215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176,90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8770" w14:textId="02576646" w:rsidR="00803102" w:rsidRPr="006A2B0F" w:rsidRDefault="006B6248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8,92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</w:tr>
      <w:tr w:rsidR="00803102" w:rsidRPr="006A2B0F" w14:paraId="259E09A3" w14:textId="77777777" w:rsidTr="00E1530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21C" w14:textId="2F2569CD" w:rsidR="00803102" w:rsidRPr="006A2B0F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lastRenderedPageBreak/>
              <w:t>2.</w:t>
            </w:r>
            <w:r w:rsidR="00052648" w:rsidRPr="006A2B0F">
              <w:rPr>
                <w:rFonts w:ascii="Times New Roman" w:hAnsi="Times New Roman" w:cs="Times New Roman"/>
                <w:bCs/>
                <w:lang w:val="hr-HR"/>
              </w:rPr>
              <w:t>4</w:t>
            </w:r>
            <w:r w:rsidRPr="006A2B0F">
              <w:rPr>
                <w:rFonts w:ascii="Times New Roman" w:hAnsi="Times New Roman" w:cs="Times New Roman"/>
                <w:bCs/>
                <w:lang w:val="hr-HR"/>
              </w:rPr>
              <w:t>. Prihodi od tekućih pomoći iz državnog proračuna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C01" w14:textId="20A51361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68.064,28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86A" w14:textId="3A3EF912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D3A2" w14:textId="2B21EE84" w:rsidR="00803102" w:rsidRPr="006A2B0F" w:rsidRDefault="00052648" w:rsidP="00C15CC1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C19F" w14:textId="6677869B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CD74" w14:textId="19C6FA1C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2B5" w14:textId="133B4031" w:rsidR="00803102" w:rsidRPr="006A2B0F" w:rsidRDefault="006B6248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Cs/>
                <w:lang w:val="hr-HR"/>
              </w:rPr>
              <w:t>0,00</w:t>
            </w:r>
            <w:r w:rsidR="00803102" w:rsidRPr="006A2B0F">
              <w:rPr>
                <w:rFonts w:ascii="Times New Roman" w:hAnsi="Times New Roman" w:cs="Times New Roman"/>
                <w:bCs/>
                <w:lang w:val="hr-HR"/>
              </w:rPr>
              <w:t>%</w:t>
            </w:r>
          </w:p>
        </w:tc>
      </w:tr>
      <w:tr w:rsidR="00803102" w:rsidRPr="006A2B0F" w14:paraId="7B3F9C03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850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3. VLASTITI PRIHODI</w:t>
            </w:r>
            <w:r w:rsidRPr="006A2B0F">
              <w:rPr>
                <w:rFonts w:ascii="Times New Roman" w:hAnsi="Times New Roman" w:cs="Times New Roman"/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A472" w14:textId="3A32EA04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C06" w14:textId="27F4C240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93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7727" w14:textId="0260740B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FD1E" w14:textId="088F0970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62,86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3BBF" w14:textId="3DFA7AB3" w:rsidR="00803102" w:rsidRPr="006A2B0F" w:rsidRDefault="00E1530E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0,24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BAE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0,00%</w:t>
            </w:r>
          </w:p>
        </w:tc>
      </w:tr>
      <w:tr w:rsidR="003A6530" w:rsidRPr="006A2B0F" w14:paraId="6BB3AB2E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EB9A" w14:textId="61C64CDA" w:rsidR="003A6530" w:rsidRPr="006A2B0F" w:rsidRDefault="003A6530" w:rsidP="003A6530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4. PRIHODI PO POSEBNIM PROPISIMA</w:t>
            </w:r>
            <w:r w:rsidRPr="006A2B0F">
              <w:rPr>
                <w:rFonts w:ascii="Times New Roman" w:hAnsi="Times New Roman" w:cs="Times New Roman"/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626" w14:textId="1E935EC0" w:rsidR="003A6530" w:rsidRPr="006A2B0F" w:rsidRDefault="002A626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DC86" w14:textId="7CFDA0CD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660</w:t>
            </w:r>
            <w:r w:rsidR="003A6530" w:rsidRPr="006A2B0F">
              <w:rPr>
                <w:rFonts w:ascii="Times New Roman" w:hAnsi="Times New Roman" w:cs="Times New Roman"/>
                <w:b/>
                <w:bCs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007" w14:textId="614D379C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296,90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CE0" w14:textId="01B1D861" w:rsidR="003A6530" w:rsidRPr="006A2B0F" w:rsidRDefault="002A626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6EB" w14:textId="6CA8F903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44,98</w:t>
            </w:r>
            <w:r w:rsidR="002A626E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5265" w14:textId="41102433" w:rsidR="003A6530" w:rsidRPr="006A2B0F" w:rsidRDefault="006B6248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0,04</w:t>
            </w:r>
            <w:r w:rsidR="002A626E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</w:tr>
      <w:tr w:rsidR="003A6530" w:rsidRPr="006A2B0F" w14:paraId="3020B7BD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11C12" w14:textId="77777777" w:rsidR="003A6530" w:rsidRPr="006A2B0F" w:rsidRDefault="003A6530" w:rsidP="003A6530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UKUPNO OSTVARENI PRIHODI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EB77B" w14:textId="35918793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639.666,03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B477" w14:textId="6B79381F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901.296,00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4F759" w14:textId="6EFCE857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719.312,84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1DB0F" w14:textId="6BA62677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112,45</w:t>
            </w:r>
            <w:r w:rsidR="003A6530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DC476" w14:textId="3D60452A" w:rsidR="003A6530" w:rsidRPr="006A2B0F" w:rsidRDefault="00E1530E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79,81</w:t>
            </w:r>
            <w:r w:rsidR="003A6530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6C000" w14:textId="77777777" w:rsidR="003A6530" w:rsidRPr="006A2B0F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100,00%</w:t>
            </w:r>
          </w:p>
        </w:tc>
      </w:tr>
    </w:tbl>
    <w:p w14:paraId="72358B53" w14:textId="77777777" w:rsidR="00803102" w:rsidRPr="006A2B0F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CDF5A1" w14:textId="655DD2CD" w:rsidR="00803102" w:rsidRPr="00292C90" w:rsidRDefault="00803102" w:rsidP="00292C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C90">
        <w:rPr>
          <w:rFonts w:ascii="Times New Roman" w:hAnsi="Times New Roman" w:cs="Times New Roman"/>
          <w:i/>
          <w:iCs/>
          <w:sz w:val="24"/>
          <w:szCs w:val="24"/>
        </w:rPr>
        <w:t>Grafikon 2. Prihodi za 202</w:t>
      </w:r>
      <w:r w:rsidR="006B6248" w:rsidRPr="00292C9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92C90">
        <w:rPr>
          <w:rFonts w:ascii="Times New Roman" w:hAnsi="Times New Roman" w:cs="Times New Roman"/>
          <w:i/>
          <w:iCs/>
          <w:sz w:val="24"/>
          <w:szCs w:val="24"/>
        </w:rPr>
        <w:t>. godinu prema strukturi</w:t>
      </w:r>
    </w:p>
    <w:p w14:paraId="2E3A09EF" w14:textId="3AF396A9" w:rsidR="000228AA" w:rsidRPr="006A2B0F" w:rsidRDefault="00691984" w:rsidP="0080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0F">
        <w:rPr>
          <w:noProof/>
        </w:rPr>
        <w:drawing>
          <wp:inline distT="0" distB="0" distL="0" distR="0" wp14:anchorId="2DE7AA56" wp14:editId="5408F735">
            <wp:extent cx="5731510" cy="2895600"/>
            <wp:effectExtent l="0" t="0" r="2540" b="0"/>
            <wp:docPr id="108767227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EF960710-F99D-4D35-95CC-05AAE685D8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55183F" w14:textId="3BEFE3CB" w:rsidR="00803102" w:rsidRPr="006A2B0F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67FEE" w14:textId="77777777" w:rsidR="001D5521" w:rsidRPr="006A2B0F" w:rsidRDefault="001D5521" w:rsidP="001D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28FA0" w14:textId="67A69C58" w:rsidR="00803102" w:rsidRPr="006A2B0F" w:rsidRDefault="00423482" w:rsidP="001D552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</w:t>
      </w:r>
      <w:r w:rsidR="001D5521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RASHODI</w:t>
      </w:r>
    </w:p>
    <w:p w14:paraId="7B7CB281" w14:textId="77777777" w:rsidR="00803102" w:rsidRPr="006A2B0F" w:rsidRDefault="00803102" w:rsidP="008031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906B4" w14:textId="68B65DA1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>U razdoblju od 01.01. do 31.12.202</w:t>
      </w:r>
      <w:r w:rsidR="00AD118F" w:rsidRPr="006A2B0F">
        <w:rPr>
          <w:rFonts w:ascii="Times New Roman" w:hAnsi="Times New Roman"/>
          <w:sz w:val="24"/>
          <w:szCs w:val="24"/>
        </w:rPr>
        <w:t>3</w:t>
      </w:r>
      <w:r w:rsidRPr="006A2B0F">
        <w:rPr>
          <w:rFonts w:ascii="Times New Roman" w:hAnsi="Times New Roman"/>
          <w:sz w:val="24"/>
          <w:szCs w:val="24"/>
        </w:rPr>
        <w:t xml:space="preserve">. godine Razvojna agencija PORA KKŽ ostvarila je  rashode u iznosu od </w:t>
      </w:r>
      <w:r w:rsidR="00AD118F" w:rsidRPr="006A2B0F">
        <w:rPr>
          <w:rFonts w:ascii="Times New Roman" w:hAnsi="Times New Roman"/>
          <w:sz w:val="24"/>
          <w:szCs w:val="24"/>
        </w:rPr>
        <w:t>720.666,94</w:t>
      </w:r>
      <w:r w:rsidRPr="006A2B0F">
        <w:rPr>
          <w:rFonts w:ascii="Times New Roman" w:hAnsi="Times New Roman" w:cs="Times New Roman"/>
          <w:sz w:val="24"/>
          <w:szCs w:val="24"/>
        </w:rPr>
        <w:t xml:space="preserve"> </w:t>
      </w:r>
      <w:r w:rsidR="00AD118F" w:rsidRPr="006A2B0F">
        <w:rPr>
          <w:rFonts w:ascii="Times New Roman" w:hAnsi="Times New Roman" w:cs="Times New Roman"/>
          <w:sz w:val="24"/>
          <w:szCs w:val="24"/>
        </w:rPr>
        <w:t>eura</w:t>
      </w:r>
      <w:r w:rsidRPr="006A2B0F">
        <w:rPr>
          <w:rFonts w:ascii="Times New Roman" w:hAnsi="Times New Roman"/>
          <w:sz w:val="24"/>
          <w:szCs w:val="24"/>
        </w:rPr>
        <w:t xml:space="preserve">, što iznosi </w:t>
      </w:r>
      <w:r w:rsidR="00AD118F" w:rsidRPr="006A2B0F">
        <w:rPr>
          <w:rFonts w:ascii="Times New Roman" w:hAnsi="Times New Roman"/>
          <w:sz w:val="24"/>
          <w:szCs w:val="24"/>
        </w:rPr>
        <w:t>80,61</w:t>
      </w:r>
      <w:r w:rsidRPr="006A2B0F">
        <w:rPr>
          <w:rFonts w:ascii="Times New Roman" w:hAnsi="Times New Roman"/>
          <w:sz w:val="24"/>
          <w:szCs w:val="24"/>
        </w:rPr>
        <w:t xml:space="preserve">% ukupno planiranih rashoda. </w:t>
      </w:r>
    </w:p>
    <w:p w14:paraId="15E333BC" w14:textId="7777777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446F04" w14:textId="0FBC2374" w:rsidR="00803102" w:rsidRPr="00D03252" w:rsidRDefault="00803102" w:rsidP="00803102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>Tablica 9. Pregled rashoda za 202</w:t>
      </w:r>
      <w:r w:rsidR="00AD118F" w:rsidRPr="00D0325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03252">
        <w:rPr>
          <w:rFonts w:ascii="Times New Roman" w:hAnsi="Times New Roman" w:cs="Times New Roman"/>
          <w:i/>
          <w:iCs/>
          <w:sz w:val="24"/>
          <w:szCs w:val="24"/>
        </w:rPr>
        <w:t>. i 202</w:t>
      </w:r>
      <w:r w:rsidR="00AD118F" w:rsidRPr="00D0325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03252">
        <w:rPr>
          <w:rFonts w:ascii="Times New Roman" w:hAnsi="Times New Roman" w:cs="Times New Roman"/>
          <w:i/>
          <w:iCs/>
          <w:sz w:val="24"/>
          <w:szCs w:val="24"/>
        </w:rPr>
        <w:t>. godinu</w:t>
      </w: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418"/>
        <w:gridCol w:w="1134"/>
        <w:gridCol w:w="992"/>
        <w:gridCol w:w="1276"/>
      </w:tblGrid>
      <w:tr w:rsidR="00803102" w:rsidRPr="006A2B0F" w14:paraId="3BE0552E" w14:textId="77777777" w:rsidTr="00554E7D">
        <w:trPr>
          <w:trHeight w:val="531"/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463BD61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Opis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64EC50" w14:textId="49378126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Izvršenje 202</w:t>
            </w:r>
            <w:r w:rsidR="00AD118F" w:rsidRPr="006A2B0F">
              <w:rPr>
                <w:rFonts w:ascii="Times New Roman" w:hAnsi="Times New Roman" w:cs="Times New Roman"/>
                <w:b/>
                <w:bCs/>
                <w:lang w:val="hr-HR"/>
              </w:rPr>
              <w:t>2</w:t>
            </w: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CA63C6" w14:textId="787F097D" w:rsidR="00803102" w:rsidRPr="006A2B0F" w:rsidRDefault="0087523D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Izvorni/t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ekući plan 202</w:t>
            </w:r>
            <w:r w:rsidR="00AD118F" w:rsidRPr="006A2B0F">
              <w:rPr>
                <w:rFonts w:ascii="Times New Roman" w:hAnsi="Times New Roman" w:cs="Times New Roman"/>
                <w:b/>
                <w:bCs/>
                <w:lang w:val="hr-HR"/>
              </w:rPr>
              <w:t>3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626AF0" w14:textId="2986028C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Izvršenje 202</w:t>
            </w:r>
            <w:r w:rsidR="00AD118F" w:rsidRPr="006A2B0F">
              <w:rPr>
                <w:rFonts w:ascii="Times New Roman" w:hAnsi="Times New Roman" w:cs="Times New Roman"/>
                <w:b/>
                <w:bCs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AD4D85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Indeks</w:t>
            </w:r>
          </w:p>
          <w:p w14:paraId="5F83BEAE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4/2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371178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Indeks</w:t>
            </w:r>
          </w:p>
          <w:p w14:paraId="47A616E3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4/3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C8EAB1" w14:textId="02594930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Struktura  rashoda 202</w:t>
            </w:r>
            <w:r w:rsidR="00AD118F" w:rsidRPr="006A2B0F">
              <w:rPr>
                <w:rFonts w:ascii="Times New Roman" w:hAnsi="Times New Roman" w:cs="Times New Roman"/>
                <w:b/>
                <w:bCs/>
                <w:lang w:val="hr-HR"/>
              </w:rPr>
              <w:t>3</w:t>
            </w: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803102" w:rsidRPr="006A2B0F" w14:paraId="6CB3920A" w14:textId="77777777" w:rsidTr="00C15CC1">
        <w:trPr>
          <w:jc w:val="center"/>
        </w:trPr>
        <w:tc>
          <w:tcPr>
            <w:tcW w:w="2552" w:type="dxa"/>
          </w:tcPr>
          <w:p w14:paraId="28308720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1559" w:type="dxa"/>
          </w:tcPr>
          <w:p w14:paraId="68BCA00D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2</w:t>
            </w:r>
          </w:p>
        </w:tc>
        <w:tc>
          <w:tcPr>
            <w:tcW w:w="1559" w:type="dxa"/>
          </w:tcPr>
          <w:p w14:paraId="2755133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3</w:t>
            </w:r>
          </w:p>
        </w:tc>
        <w:tc>
          <w:tcPr>
            <w:tcW w:w="1418" w:type="dxa"/>
          </w:tcPr>
          <w:p w14:paraId="05CF5F42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</w:p>
        </w:tc>
        <w:tc>
          <w:tcPr>
            <w:tcW w:w="1134" w:type="dxa"/>
          </w:tcPr>
          <w:p w14:paraId="7F860984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</w:p>
        </w:tc>
        <w:tc>
          <w:tcPr>
            <w:tcW w:w="992" w:type="dxa"/>
          </w:tcPr>
          <w:p w14:paraId="5428030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</w:p>
        </w:tc>
        <w:tc>
          <w:tcPr>
            <w:tcW w:w="1276" w:type="dxa"/>
          </w:tcPr>
          <w:p w14:paraId="1E097AAA" w14:textId="77777777" w:rsidR="00803102" w:rsidRPr="006A2B0F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7</w:t>
            </w:r>
          </w:p>
        </w:tc>
      </w:tr>
      <w:tr w:rsidR="00803102" w:rsidRPr="006A2B0F" w14:paraId="1C4E7892" w14:textId="77777777" w:rsidTr="00C15CC1">
        <w:trPr>
          <w:jc w:val="center"/>
        </w:trPr>
        <w:tc>
          <w:tcPr>
            <w:tcW w:w="2552" w:type="dxa"/>
          </w:tcPr>
          <w:p w14:paraId="3FF67202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RASHODI</w:t>
            </w:r>
          </w:p>
        </w:tc>
        <w:tc>
          <w:tcPr>
            <w:tcW w:w="1559" w:type="dxa"/>
          </w:tcPr>
          <w:p w14:paraId="6C80919D" w14:textId="5A010D4B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591.664,71</w:t>
            </w:r>
          </w:p>
        </w:tc>
        <w:tc>
          <w:tcPr>
            <w:tcW w:w="1559" w:type="dxa"/>
          </w:tcPr>
          <w:p w14:paraId="1B5F1A8A" w14:textId="3AB8362E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894.011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,00</w:t>
            </w:r>
          </w:p>
        </w:tc>
        <w:tc>
          <w:tcPr>
            <w:tcW w:w="1418" w:type="dxa"/>
          </w:tcPr>
          <w:p w14:paraId="2A89E631" w14:textId="69F6B713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720.666,94</w:t>
            </w:r>
          </w:p>
        </w:tc>
        <w:tc>
          <w:tcPr>
            <w:tcW w:w="1134" w:type="dxa"/>
          </w:tcPr>
          <w:p w14:paraId="0750B946" w14:textId="1555B280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121.8</w:t>
            </w:r>
            <w:r w:rsidR="00F50597" w:rsidRPr="006A2B0F"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992" w:type="dxa"/>
          </w:tcPr>
          <w:p w14:paraId="3EE0733E" w14:textId="626D79F4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80,61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</w:tcPr>
          <w:p w14:paraId="43B1EFEF" w14:textId="77777777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100,00%</w:t>
            </w:r>
          </w:p>
        </w:tc>
      </w:tr>
      <w:tr w:rsidR="00803102" w:rsidRPr="006A2B0F" w14:paraId="42DC3216" w14:textId="77777777" w:rsidTr="00C15CC1">
        <w:trPr>
          <w:jc w:val="center"/>
        </w:trPr>
        <w:tc>
          <w:tcPr>
            <w:tcW w:w="2552" w:type="dxa"/>
          </w:tcPr>
          <w:p w14:paraId="09743D3A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Rashodi poslovanja</w:t>
            </w:r>
          </w:p>
        </w:tc>
        <w:tc>
          <w:tcPr>
            <w:tcW w:w="1559" w:type="dxa"/>
          </w:tcPr>
          <w:p w14:paraId="4B5D98C9" w14:textId="61B0C592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575.996,15</w:t>
            </w:r>
          </w:p>
        </w:tc>
        <w:tc>
          <w:tcPr>
            <w:tcW w:w="1559" w:type="dxa"/>
          </w:tcPr>
          <w:p w14:paraId="60BB3221" w14:textId="0D505930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875.081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,00</w:t>
            </w:r>
          </w:p>
        </w:tc>
        <w:tc>
          <w:tcPr>
            <w:tcW w:w="1418" w:type="dxa"/>
          </w:tcPr>
          <w:p w14:paraId="087F1766" w14:textId="72451ED9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707.184,24</w:t>
            </w:r>
          </w:p>
        </w:tc>
        <w:tc>
          <w:tcPr>
            <w:tcW w:w="1134" w:type="dxa"/>
          </w:tcPr>
          <w:p w14:paraId="0EB15DC1" w14:textId="0F82B102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122,78</w:t>
            </w:r>
          </w:p>
        </w:tc>
        <w:tc>
          <w:tcPr>
            <w:tcW w:w="992" w:type="dxa"/>
          </w:tcPr>
          <w:p w14:paraId="45666358" w14:textId="5B8F2521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80,81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</w:tcPr>
          <w:p w14:paraId="03FE0396" w14:textId="74F6D3C3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98,13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</w:tr>
      <w:tr w:rsidR="00803102" w:rsidRPr="006A2B0F" w14:paraId="5ED57F9E" w14:textId="77777777" w:rsidTr="00C15CC1">
        <w:trPr>
          <w:jc w:val="center"/>
        </w:trPr>
        <w:tc>
          <w:tcPr>
            <w:tcW w:w="2552" w:type="dxa"/>
          </w:tcPr>
          <w:p w14:paraId="147A505C" w14:textId="77777777" w:rsidR="00803102" w:rsidRPr="006A2B0F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Rashodi za zaposlene</w:t>
            </w:r>
          </w:p>
        </w:tc>
        <w:tc>
          <w:tcPr>
            <w:tcW w:w="1559" w:type="dxa"/>
          </w:tcPr>
          <w:p w14:paraId="33698F26" w14:textId="3AAA15A1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419.694,73</w:t>
            </w:r>
          </w:p>
        </w:tc>
        <w:tc>
          <w:tcPr>
            <w:tcW w:w="1559" w:type="dxa"/>
          </w:tcPr>
          <w:p w14:paraId="73A56158" w14:textId="0E262F75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514.596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418" w:type="dxa"/>
          </w:tcPr>
          <w:p w14:paraId="2A94642E" w14:textId="42901972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475.361,77</w:t>
            </w:r>
          </w:p>
        </w:tc>
        <w:tc>
          <w:tcPr>
            <w:tcW w:w="1134" w:type="dxa"/>
          </w:tcPr>
          <w:p w14:paraId="19D41241" w14:textId="72BA6F33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113,26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992" w:type="dxa"/>
          </w:tcPr>
          <w:p w14:paraId="77CCFD69" w14:textId="32A32498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92,38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</w:tcPr>
          <w:p w14:paraId="0E228F06" w14:textId="7E59F95C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65,96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</w:tr>
      <w:tr w:rsidR="00803102" w:rsidRPr="006A2B0F" w14:paraId="7049C941" w14:textId="77777777" w:rsidTr="00C15CC1">
        <w:trPr>
          <w:jc w:val="center"/>
        </w:trPr>
        <w:tc>
          <w:tcPr>
            <w:tcW w:w="2552" w:type="dxa"/>
          </w:tcPr>
          <w:p w14:paraId="3F8DB135" w14:textId="77777777" w:rsidR="00803102" w:rsidRPr="006A2B0F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Materijalni rashodi</w:t>
            </w:r>
          </w:p>
        </w:tc>
        <w:tc>
          <w:tcPr>
            <w:tcW w:w="1559" w:type="dxa"/>
          </w:tcPr>
          <w:p w14:paraId="39D40BCE" w14:textId="387B764E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156.301,42</w:t>
            </w:r>
          </w:p>
        </w:tc>
        <w:tc>
          <w:tcPr>
            <w:tcW w:w="1559" w:type="dxa"/>
          </w:tcPr>
          <w:p w14:paraId="16D5B79A" w14:textId="3602F21E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360.485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418" w:type="dxa"/>
          </w:tcPr>
          <w:p w14:paraId="1FF159A7" w14:textId="294C6408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231.822,47</w:t>
            </w:r>
          </w:p>
        </w:tc>
        <w:tc>
          <w:tcPr>
            <w:tcW w:w="1134" w:type="dxa"/>
          </w:tcPr>
          <w:p w14:paraId="090912D2" w14:textId="46482530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148,32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992" w:type="dxa"/>
          </w:tcPr>
          <w:p w14:paraId="3C23A9C7" w14:textId="6A09DE83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64,31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</w:tcPr>
          <w:p w14:paraId="3F350691" w14:textId="4B01826A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32,17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</w:tr>
      <w:tr w:rsidR="00803102" w:rsidRPr="006A2B0F" w14:paraId="4B8C149F" w14:textId="77777777" w:rsidTr="00C15CC1">
        <w:trPr>
          <w:jc w:val="center"/>
        </w:trPr>
        <w:tc>
          <w:tcPr>
            <w:tcW w:w="2552" w:type="dxa"/>
          </w:tcPr>
          <w:p w14:paraId="329CC051" w14:textId="77777777" w:rsidR="00803102" w:rsidRPr="006A2B0F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428AB5EC" w14:textId="56D33CF5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15.648,56</w:t>
            </w:r>
          </w:p>
        </w:tc>
        <w:tc>
          <w:tcPr>
            <w:tcW w:w="1559" w:type="dxa"/>
            <w:vAlign w:val="center"/>
          </w:tcPr>
          <w:p w14:paraId="5E71F80C" w14:textId="478875A9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18.930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,00</w:t>
            </w:r>
          </w:p>
        </w:tc>
        <w:tc>
          <w:tcPr>
            <w:tcW w:w="1418" w:type="dxa"/>
            <w:vAlign w:val="center"/>
          </w:tcPr>
          <w:p w14:paraId="5545D1FA" w14:textId="08360A63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13.482,70</w:t>
            </w:r>
          </w:p>
        </w:tc>
        <w:tc>
          <w:tcPr>
            <w:tcW w:w="1134" w:type="dxa"/>
            <w:vAlign w:val="center"/>
          </w:tcPr>
          <w:p w14:paraId="72955A0E" w14:textId="1E1E4FB1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86,16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992" w:type="dxa"/>
            <w:vAlign w:val="center"/>
          </w:tcPr>
          <w:p w14:paraId="66ACBD0D" w14:textId="2FFAD1A8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71,22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  <w:tc>
          <w:tcPr>
            <w:tcW w:w="1276" w:type="dxa"/>
            <w:vAlign w:val="center"/>
          </w:tcPr>
          <w:p w14:paraId="0BDD8034" w14:textId="23B856FE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A2B0F">
              <w:rPr>
                <w:rFonts w:ascii="Times New Roman" w:hAnsi="Times New Roman" w:cs="Times New Roman"/>
                <w:b/>
                <w:bCs/>
                <w:lang w:val="hr-HR"/>
              </w:rPr>
              <w:t>1,87</w:t>
            </w:r>
            <w:r w:rsidR="00803102" w:rsidRPr="006A2B0F">
              <w:rPr>
                <w:rFonts w:ascii="Times New Roman" w:hAnsi="Times New Roman" w:cs="Times New Roman"/>
                <w:b/>
                <w:bCs/>
                <w:lang w:val="hr-HR"/>
              </w:rPr>
              <w:t>%</w:t>
            </w:r>
          </w:p>
        </w:tc>
      </w:tr>
      <w:tr w:rsidR="00803102" w:rsidRPr="006A2B0F" w14:paraId="2429A780" w14:textId="77777777" w:rsidTr="00C15CC1">
        <w:trPr>
          <w:jc w:val="center"/>
        </w:trPr>
        <w:tc>
          <w:tcPr>
            <w:tcW w:w="2552" w:type="dxa"/>
          </w:tcPr>
          <w:p w14:paraId="57FFE769" w14:textId="77777777" w:rsidR="00803102" w:rsidRPr="006A2B0F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Rashodi za nabavu neproizvedene dugotrajne imovine</w:t>
            </w:r>
          </w:p>
        </w:tc>
        <w:tc>
          <w:tcPr>
            <w:tcW w:w="1559" w:type="dxa"/>
            <w:vAlign w:val="center"/>
          </w:tcPr>
          <w:p w14:paraId="0F5D8435" w14:textId="01F65C1A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1.054,15</w:t>
            </w:r>
          </w:p>
        </w:tc>
        <w:tc>
          <w:tcPr>
            <w:tcW w:w="1559" w:type="dxa"/>
            <w:vAlign w:val="center"/>
          </w:tcPr>
          <w:p w14:paraId="11A5AFA9" w14:textId="26F8180D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1.330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418" w:type="dxa"/>
            <w:vAlign w:val="center"/>
          </w:tcPr>
          <w:p w14:paraId="1C50A809" w14:textId="4E7DC3AC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1.045,75</w:t>
            </w:r>
          </w:p>
        </w:tc>
        <w:tc>
          <w:tcPr>
            <w:tcW w:w="1134" w:type="dxa"/>
            <w:vAlign w:val="center"/>
          </w:tcPr>
          <w:p w14:paraId="5D4B193D" w14:textId="17B80859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99,20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992" w:type="dxa"/>
            <w:vAlign w:val="center"/>
          </w:tcPr>
          <w:p w14:paraId="25142D4D" w14:textId="67359910" w:rsidR="00803102" w:rsidRPr="006A2B0F" w:rsidRDefault="00AD118F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78,63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  <w:vAlign w:val="center"/>
          </w:tcPr>
          <w:p w14:paraId="121AAB48" w14:textId="0485FD18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0,15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</w:tr>
      <w:tr w:rsidR="00803102" w:rsidRPr="006A2B0F" w14:paraId="3EBC7C2D" w14:textId="77777777" w:rsidTr="00C15CC1">
        <w:trPr>
          <w:jc w:val="center"/>
        </w:trPr>
        <w:tc>
          <w:tcPr>
            <w:tcW w:w="2552" w:type="dxa"/>
          </w:tcPr>
          <w:p w14:paraId="6D0B91C5" w14:textId="77777777" w:rsidR="00803102" w:rsidRPr="006A2B0F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lastRenderedPageBreak/>
              <w:t>Rashodi za nabavu proizvedene dugotrajne imovine</w:t>
            </w:r>
          </w:p>
        </w:tc>
        <w:tc>
          <w:tcPr>
            <w:tcW w:w="1559" w:type="dxa"/>
            <w:vAlign w:val="center"/>
          </w:tcPr>
          <w:p w14:paraId="6FE41C36" w14:textId="2DBD9E8A" w:rsidR="00803102" w:rsidRPr="006A2B0F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</w:t>
            </w:r>
            <w:r w:rsidR="00AD118F" w:rsidRPr="006A2B0F">
              <w:rPr>
                <w:rFonts w:ascii="Times New Roman" w:hAnsi="Times New Roman" w:cs="Times New Roman"/>
                <w:lang w:val="hr-HR"/>
              </w:rPr>
              <w:t>4.594,41</w:t>
            </w:r>
          </w:p>
        </w:tc>
        <w:tc>
          <w:tcPr>
            <w:tcW w:w="1559" w:type="dxa"/>
            <w:vAlign w:val="center"/>
          </w:tcPr>
          <w:p w14:paraId="1D1B4851" w14:textId="40FE3CBE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17.600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418" w:type="dxa"/>
            <w:vAlign w:val="center"/>
          </w:tcPr>
          <w:p w14:paraId="3AB21947" w14:textId="30B79C63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12.436,95</w:t>
            </w:r>
          </w:p>
        </w:tc>
        <w:tc>
          <w:tcPr>
            <w:tcW w:w="1134" w:type="dxa"/>
            <w:vAlign w:val="center"/>
          </w:tcPr>
          <w:p w14:paraId="5D808811" w14:textId="4D7FD0F4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85,22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992" w:type="dxa"/>
            <w:vAlign w:val="center"/>
          </w:tcPr>
          <w:p w14:paraId="26F0D4C3" w14:textId="11D7A85B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70,66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  <w:tc>
          <w:tcPr>
            <w:tcW w:w="1276" w:type="dxa"/>
            <w:vAlign w:val="center"/>
          </w:tcPr>
          <w:p w14:paraId="001EF57D" w14:textId="40F93A0A" w:rsidR="00803102" w:rsidRPr="006A2B0F" w:rsidRDefault="00256358" w:rsidP="00C15CC1">
            <w:pPr>
              <w:jc w:val="right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6A2B0F">
              <w:rPr>
                <w:rFonts w:ascii="Times New Roman" w:hAnsi="Times New Roman" w:cs="Times New Roman"/>
                <w:lang w:val="hr-HR"/>
              </w:rPr>
              <w:t>1,72</w:t>
            </w:r>
            <w:r w:rsidR="00803102" w:rsidRPr="006A2B0F">
              <w:rPr>
                <w:rFonts w:ascii="Times New Roman" w:hAnsi="Times New Roman" w:cs="Times New Roman"/>
                <w:lang w:val="hr-HR"/>
              </w:rPr>
              <w:t>%</w:t>
            </w:r>
          </w:p>
        </w:tc>
      </w:tr>
    </w:tbl>
    <w:p w14:paraId="5FF493ED" w14:textId="77777777" w:rsidR="00803102" w:rsidRPr="006A2B0F" w:rsidRDefault="00803102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690B75" w14:textId="57D2AC3C" w:rsidR="00803102" w:rsidRPr="00292C90" w:rsidRDefault="00803102" w:rsidP="00292C9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2C90">
        <w:rPr>
          <w:rFonts w:ascii="Times New Roman" w:hAnsi="Times New Roman"/>
          <w:i/>
          <w:iCs/>
          <w:sz w:val="24"/>
          <w:szCs w:val="24"/>
        </w:rPr>
        <w:t xml:space="preserve">Grafikon </w:t>
      </w:r>
      <w:r w:rsidR="00EF280A" w:rsidRPr="00292C90">
        <w:rPr>
          <w:rFonts w:ascii="Times New Roman" w:hAnsi="Times New Roman"/>
          <w:i/>
          <w:iCs/>
          <w:sz w:val="24"/>
          <w:szCs w:val="24"/>
        </w:rPr>
        <w:t>3</w:t>
      </w:r>
      <w:r w:rsidRPr="00292C90">
        <w:rPr>
          <w:rFonts w:ascii="Times New Roman" w:hAnsi="Times New Roman"/>
          <w:i/>
          <w:iCs/>
          <w:sz w:val="24"/>
          <w:szCs w:val="24"/>
        </w:rPr>
        <w:t>. Struktura izvršenih rashoda za 202</w:t>
      </w:r>
      <w:r w:rsidR="00256358" w:rsidRPr="00292C90">
        <w:rPr>
          <w:rFonts w:ascii="Times New Roman" w:hAnsi="Times New Roman"/>
          <w:i/>
          <w:iCs/>
          <w:sz w:val="24"/>
          <w:szCs w:val="24"/>
        </w:rPr>
        <w:t>3</w:t>
      </w:r>
      <w:r w:rsidRPr="00292C90">
        <w:rPr>
          <w:rFonts w:ascii="Times New Roman" w:hAnsi="Times New Roman"/>
          <w:i/>
          <w:iCs/>
          <w:sz w:val="24"/>
          <w:szCs w:val="24"/>
        </w:rPr>
        <w:t>. godinu</w:t>
      </w:r>
    </w:p>
    <w:p w14:paraId="2B9EC62A" w14:textId="5B3A5BA4" w:rsidR="00691984" w:rsidRPr="006A2B0F" w:rsidRDefault="00BE464D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B0F">
        <w:rPr>
          <w:noProof/>
        </w:rPr>
        <w:drawing>
          <wp:inline distT="0" distB="0" distL="0" distR="0" wp14:anchorId="68DA82C9" wp14:editId="53504B63">
            <wp:extent cx="5731510" cy="2898775"/>
            <wp:effectExtent l="0" t="0" r="2540" b="15875"/>
            <wp:docPr id="1833662412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A1B86B56-7A14-441F-B522-3686CAEE89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C5557F" w14:textId="529B9651" w:rsidR="00691984" w:rsidRPr="006A2B0F" w:rsidRDefault="00691984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F2FEB0" w14:textId="2FB34D6B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b/>
          <w:sz w:val="24"/>
          <w:szCs w:val="24"/>
        </w:rPr>
        <w:t xml:space="preserve">RASHODI ZA </w:t>
      </w:r>
      <w:r w:rsidRPr="00F61DB2">
        <w:rPr>
          <w:rFonts w:ascii="Times New Roman" w:hAnsi="Times New Roman"/>
          <w:b/>
          <w:sz w:val="24"/>
          <w:szCs w:val="24"/>
        </w:rPr>
        <w:t xml:space="preserve">ZAPOSLENE </w:t>
      </w:r>
      <w:r w:rsidRPr="00F61DB2">
        <w:rPr>
          <w:rFonts w:ascii="Times New Roman" w:hAnsi="Times New Roman"/>
          <w:sz w:val="24"/>
          <w:szCs w:val="24"/>
        </w:rPr>
        <w:t xml:space="preserve">za prosječno 20 </w:t>
      </w:r>
      <w:r w:rsidR="00F61DB2" w:rsidRPr="00F61DB2">
        <w:rPr>
          <w:rFonts w:ascii="Times New Roman" w:hAnsi="Times New Roman"/>
          <w:sz w:val="24"/>
          <w:szCs w:val="24"/>
        </w:rPr>
        <w:t>zaposlenika</w:t>
      </w:r>
      <w:r w:rsidR="00B52B43" w:rsidRPr="00F61DB2">
        <w:rPr>
          <w:rFonts w:ascii="Times New Roman" w:hAnsi="Times New Roman"/>
          <w:sz w:val="24"/>
          <w:szCs w:val="24"/>
        </w:rPr>
        <w:t xml:space="preserve"> (od kojih 3 zaposlenice na porodiljnom bez zamjene i 3 pripravnika)</w:t>
      </w:r>
      <w:r w:rsidRPr="00F61DB2">
        <w:rPr>
          <w:rFonts w:ascii="Times New Roman" w:hAnsi="Times New Roman"/>
          <w:sz w:val="24"/>
          <w:szCs w:val="24"/>
        </w:rPr>
        <w:t xml:space="preserve"> </w:t>
      </w:r>
      <w:r w:rsidRPr="006A2B0F">
        <w:rPr>
          <w:rFonts w:ascii="Times New Roman" w:hAnsi="Times New Roman"/>
          <w:sz w:val="24"/>
          <w:szCs w:val="24"/>
        </w:rPr>
        <w:t>ostvareni su u iznosu od</w:t>
      </w:r>
      <w:r w:rsidR="00D940C8" w:rsidRPr="006A2B0F">
        <w:rPr>
          <w:rFonts w:ascii="Times New Roman" w:hAnsi="Times New Roman"/>
          <w:sz w:val="24"/>
          <w:szCs w:val="24"/>
        </w:rPr>
        <w:t xml:space="preserve"> </w:t>
      </w:r>
      <w:r w:rsidR="00BE464D" w:rsidRPr="006A2B0F">
        <w:rPr>
          <w:rFonts w:ascii="Times New Roman" w:hAnsi="Times New Roman"/>
          <w:sz w:val="24"/>
          <w:szCs w:val="24"/>
        </w:rPr>
        <w:t>475.361,77</w:t>
      </w:r>
      <w:r w:rsidRPr="006A2B0F">
        <w:rPr>
          <w:rFonts w:ascii="Times New Roman" w:hAnsi="Times New Roman"/>
          <w:sz w:val="24"/>
          <w:szCs w:val="24"/>
        </w:rPr>
        <w:t xml:space="preserve"> </w:t>
      </w:r>
      <w:r w:rsidR="00B23113" w:rsidRPr="006A2B0F">
        <w:rPr>
          <w:rFonts w:ascii="Times New Roman" w:hAnsi="Times New Roman"/>
          <w:sz w:val="24"/>
          <w:szCs w:val="24"/>
        </w:rPr>
        <w:t>eura</w:t>
      </w:r>
      <w:r w:rsidRPr="006A2B0F">
        <w:rPr>
          <w:rFonts w:ascii="Times New Roman" w:hAnsi="Times New Roman"/>
          <w:sz w:val="24"/>
          <w:szCs w:val="24"/>
        </w:rPr>
        <w:t xml:space="preserve"> što iznosi 9</w:t>
      </w:r>
      <w:r w:rsidR="00BE464D" w:rsidRPr="006A2B0F">
        <w:rPr>
          <w:rFonts w:ascii="Times New Roman" w:hAnsi="Times New Roman"/>
          <w:sz w:val="24"/>
          <w:szCs w:val="24"/>
        </w:rPr>
        <w:t>2,38</w:t>
      </w:r>
      <w:r w:rsidRPr="006A2B0F">
        <w:rPr>
          <w:rFonts w:ascii="Times New Roman" w:hAnsi="Times New Roman"/>
          <w:sz w:val="24"/>
          <w:szCs w:val="24"/>
        </w:rPr>
        <w:t>% od planiranih rashoda za zaposlene u 202</w:t>
      </w:r>
      <w:r w:rsidR="00BE464D" w:rsidRPr="006A2B0F">
        <w:rPr>
          <w:rFonts w:ascii="Times New Roman" w:hAnsi="Times New Roman"/>
          <w:sz w:val="24"/>
          <w:szCs w:val="24"/>
        </w:rPr>
        <w:t>3</w:t>
      </w:r>
      <w:r w:rsidRPr="006A2B0F">
        <w:rPr>
          <w:rFonts w:ascii="Times New Roman" w:hAnsi="Times New Roman"/>
          <w:sz w:val="24"/>
          <w:szCs w:val="24"/>
        </w:rPr>
        <w:t xml:space="preserve">. godini, odnosno </w:t>
      </w:r>
      <w:r w:rsidR="00BE464D" w:rsidRPr="006A2B0F">
        <w:rPr>
          <w:rFonts w:ascii="Times New Roman" w:hAnsi="Times New Roman"/>
          <w:sz w:val="24"/>
          <w:szCs w:val="24"/>
        </w:rPr>
        <w:t>65,96</w:t>
      </w:r>
      <w:r w:rsidRPr="006A2B0F">
        <w:rPr>
          <w:rFonts w:ascii="Times New Roman" w:hAnsi="Times New Roman"/>
          <w:sz w:val="24"/>
          <w:szCs w:val="24"/>
        </w:rPr>
        <w:t xml:space="preserve">% ukupno ostvarenih </w:t>
      </w:r>
      <w:r w:rsidR="00014D1F" w:rsidRPr="006A2B0F">
        <w:rPr>
          <w:rFonts w:ascii="Times New Roman" w:hAnsi="Times New Roman"/>
          <w:sz w:val="24"/>
          <w:szCs w:val="24"/>
        </w:rPr>
        <w:t>rashoda</w:t>
      </w:r>
      <w:r w:rsidRPr="006A2B0F">
        <w:rPr>
          <w:rFonts w:ascii="Times New Roman" w:hAnsi="Times New Roman"/>
          <w:sz w:val="24"/>
          <w:szCs w:val="24"/>
        </w:rPr>
        <w:t>.</w:t>
      </w:r>
    </w:p>
    <w:p w14:paraId="3B216DB8" w14:textId="7777777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B0623" w14:textId="1D4C8145" w:rsidR="00803102" w:rsidRPr="00D03252" w:rsidRDefault="00803102" w:rsidP="0080310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03252">
        <w:rPr>
          <w:rFonts w:ascii="Times New Roman" w:hAnsi="Times New Roman"/>
          <w:i/>
          <w:iCs/>
          <w:sz w:val="24"/>
          <w:szCs w:val="24"/>
        </w:rPr>
        <w:t>Tablica 10. Rashodi za zaposlene po izvorima financiranja za 202</w:t>
      </w:r>
      <w:r w:rsidR="00BE464D" w:rsidRPr="00D03252">
        <w:rPr>
          <w:rFonts w:ascii="Times New Roman" w:hAnsi="Times New Roman"/>
          <w:i/>
          <w:iCs/>
          <w:sz w:val="24"/>
          <w:szCs w:val="24"/>
        </w:rPr>
        <w:t>3</w:t>
      </w:r>
      <w:r w:rsidRPr="00D03252">
        <w:rPr>
          <w:rFonts w:ascii="Times New Roman" w:hAnsi="Times New Roman"/>
          <w:i/>
          <w:iCs/>
          <w:sz w:val="24"/>
          <w:szCs w:val="24"/>
        </w:rPr>
        <w:t>.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9"/>
        <w:gridCol w:w="1557"/>
        <w:gridCol w:w="1410"/>
      </w:tblGrid>
      <w:tr w:rsidR="00BE464D" w:rsidRPr="006A2B0F" w14:paraId="6D3267C8" w14:textId="77777777" w:rsidTr="00554E7D">
        <w:tc>
          <w:tcPr>
            <w:tcW w:w="6089" w:type="dxa"/>
            <w:shd w:val="clear" w:color="auto" w:fill="F2F2F2" w:themeFill="background1" w:themeFillShade="F2"/>
            <w:vAlign w:val="center"/>
          </w:tcPr>
          <w:p w14:paraId="66A71B78" w14:textId="77777777" w:rsidR="00803102" w:rsidRPr="006A2B0F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D5B19F" w14:textId="39987C64" w:rsidR="00803102" w:rsidRPr="006A2B0F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Izvršenje za 202</w:t>
            </w:r>
            <w:r w:rsidR="00E13BFE"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280BF13D" w14:textId="77777777" w:rsidR="00803102" w:rsidRPr="006A2B0F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Struktura</w:t>
            </w:r>
          </w:p>
        </w:tc>
      </w:tr>
      <w:tr w:rsidR="00BE464D" w:rsidRPr="006A2B0F" w14:paraId="51396245" w14:textId="77777777" w:rsidTr="00C15CC1">
        <w:tc>
          <w:tcPr>
            <w:tcW w:w="6089" w:type="dxa"/>
          </w:tcPr>
          <w:p w14:paraId="41C44D75" w14:textId="0AE6CE74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Proračun </w:t>
            </w:r>
            <w:r w:rsidR="00E736A0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KKŽ</w:t>
            </w: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- redovna djelatnost</w:t>
            </w:r>
          </w:p>
        </w:tc>
        <w:tc>
          <w:tcPr>
            <w:tcW w:w="1559" w:type="dxa"/>
            <w:vAlign w:val="center"/>
          </w:tcPr>
          <w:p w14:paraId="22DC4744" w14:textId="0A55FB39" w:rsidR="00803102" w:rsidRPr="006A2B0F" w:rsidRDefault="00BE464D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109.269,38</w:t>
            </w:r>
          </w:p>
        </w:tc>
        <w:tc>
          <w:tcPr>
            <w:tcW w:w="1412" w:type="dxa"/>
            <w:vAlign w:val="center"/>
          </w:tcPr>
          <w:p w14:paraId="77A6B34C" w14:textId="3E3945D0" w:rsidR="00803102" w:rsidRPr="006A2B0F" w:rsidRDefault="00BE464D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22,99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BE464D" w:rsidRPr="006A2B0F" w14:paraId="5BDA9AA5" w14:textId="77777777" w:rsidTr="00C15CC1">
        <w:tc>
          <w:tcPr>
            <w:tcW w:w="6089" w:type="dxa"/>
          </w:tcPr>
          <w:p w14:paraId="217BCE0E" w14:textId="2B82637D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Proračun K</w:t>
            </w:r>
            <w:r w:rsidR="00E736A0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KŽ</w:t>
            </w: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- sufinanciranje EU projekata</w:t>
            </w:r>
          </w:p>
        </w:tc>
        <w:tc>
          <w:tcPr>
            <w:tcW w:w="1559" w:type="dxa"/>
            <w:vAlign w:val="center"/>
          </w:tcPr>
          <w:p w14:paraId="259CB286" w14:textId="77F31FD1" w:rsidR="00803102" w:rsidRPr="006A2B0F" w:rsidRDefault="00BE464D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56.437,08</w:t>
            </w:r>
          </w:p>
        </w:tc>
        <w:tc>
          <w:tcPr>
            <w:tcW w:w="1412" w:type="dxa"/>
            <w:vAlign w:val="center"/>
          </w:tcPr>
          <w:p w14:paraId="07798471" w14:textId="356B8904" w:rsidR="00803102" w:rsidRPr="006A2B0F" w:rsidRDefault="00BE464D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11,87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BE464D" w:rsidRPr="006A2B0F" w14:paraId="3947C948" w14:textId="77777777" w:rsidTr="00C15CC1">
        <w:tc>
          <w:tcPr>
            <w:tcW w:w="6089" w:type="dxa"/>
          </w:tcPr>
          <w:p w14:paraId="6C6BA399" w14:textId="77777777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EU sredstva - EU projekti</w:t>
            </w:r>
          </w:p>
        </w:tc>
        <w:tc>
          <w:tcPr>
            <w:tcW w:w="1559" w:type="dxa"/>
            <w:vAlign w:val="center"/>
          </w:tcPr>
          <w:p w14:paraId="787027DA" w14:textId="5B1E7667" w:rsidR="00803102" w:rsidRPr="006A2B0F" w:rsidRDefault="00BE464D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309.655,31</w:t>
            </w:r>
          </w:p>
        </w:tc>
        <w:tc>
          <w:tcPr>
            <w:tcW w:w="1412" w:type="dxa"/>
            <w:vAlign w:val="center"/>
          </w:tcPr>
          <w:p w14:paraId="01B5DF65" w14:textId="58B1EE51" w:rsidR="00803102" w:rsidRPr="006A2B0F" w:rsidRDefault="00BE464D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65,14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BE464D" w:rsidRPr="006A2B0F" w14:paraId="507B8A02" w14:textId="77777777" w:rsidTr="00C15CC1">
        <w:tc>
          <w:tcPr>
            <w:tcW w:w="6089" w:type="dxa"/>
          </w:tcPr>
          <w:p w14:paraId="1201B3B7" w14:textId="77777777" w:rsidR="00803102" w:rsidRPr="006A2B0F" w:rsidRDefault="00803102" w:rsidP="00C15CC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559" w:type="dxa"/>
            <w:vAlign w:val="center"/>
          </w:tcPr>
          <w:p w14:paraId="665834D1" w14:textId="78DC488A" w:rsidR="00803102" w:rsidRPr="006A2B0F" w:rsidRDefault="00BE464D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475.361,77</w:t>
            </w:r>
          </w:p>
        </w:tc>
        <w:tc>
          <w:tcPr>
            <w:tcW w:w="1412" w:type="dxa"/>
            <w:vAlign w:val="center"/>
          </w:tcPr>
          <w:p w14:paraId="60EF1EC0" w14:textId="77777777" w:rsidR="00803102" w:rsidRPr="006A2B0F" w:rsidRDefault="00803102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100,00%</w:t>
            </w:r>
          </w:p>
        </w:tc>
      </w:tr>
    </w:tbl>
    <w:p w14:paraId="2E6A5BE6" w14:textId="7777777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AF09E" w14:textId="372969FE" w:rsidR="00B23113" w:rsidRPr="006A2B0F" w:rsidRDefault="00803102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C90">
        <w:rPr>
          <w:rFonts w:ascii="Times New Roman" w:hAnsi="Times New Roman"/>
          <w:i/>
          <w:iCs/>
          <w:sz w:val="24"/>
          <w:szCs w:val="24"/>
        </w:rPr>
        <w:t xml:space="preserve">Grafikon </w:t>
      </w:r>
      <w:r w:rsidR="00EF280A" w:rsidRPr="00292C90">
        <w:rPr>
          <w:rFonts w:ascii="Times New Roman" w:hAnsi="Times New Roman"/>
          <w:i/>
          <w:iCs/>
          <w:sz w:val="24"/>
          <w:szCs w:val="24"/>
        </w:rPr>
        <w:t>4</w:t>
      </w:r>
      <w:r w:rsidRPr="00292C90">
        <w:rPr>
          <w:rFonts w:ascii="Times New Roman" w:hAnsi="Times New Roman"/>
          <w:i/>
          <w:iCs/>
          <w:sz w:val="24"/>
          <w:szCs w:val="24"/>
        </w:rPr>
        <w:t>. Rashodi za zaposlene po izvorima financiranja za 202</w:t>
      </w:r>
      <w:r w:rsidR="00B23113" w:rsidRPr="00292C90">
        <w:rPr>
          <w:rFonts w:ascii="Times New Roman" w:hAnsi="Times New Roman"/>
          <w:i/>
          <w:iCs/>
          <w:sz w:val="24"/>
          <w:szCs w:val="24"/>
        </w:rPr>
        <w:t>3</w:t>
      </w:r>
      <w:r w:rsidRPr="00292C90">
        <w:rPr>
          <w:rFonts w:ascii="Times New Roman" w:hAnsi="Times New Roman"/>
          <w:i/>
          <w:iCs/>
          <w:sz w:val="24"/>
          <w:szCs w:val="24"/>
        </w:rPr>
        <w:t>. godinu</w:t>
      </w:r>
      <w:r w:rsidR="00B23113" w:rsidRPr="006A2B0F">
        <w:rPr>
          <w:noProof/>
        </w:rPr>
        <w:drawing>
          <wp:inline distT="0" distB="0" distL="0" distR="0" wp14:anchorId="131D05DE" wp14:editId="365CC8D9">
            <wp:extent cx="4864735" cy="2238375"/>
            <wp:effectExtent l="0" t="0" r="12065" b="9525"/>
            <wp:docPr id="121499575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CA16B15-3AC5-4919-8583-152556C52B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5AA7D5" w14:textId="77777777" w:rsidR="00B23113" w:rsidRPr="006A2B0F" w:rsidRDefault="00B23113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00F4B9" w14:textId="1204E02F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A2B0F">
        <w:rPr>
          <w:rFonts w:ascii="Times New Roman" w:hAnsi="Times New Roman"/>
          <w:b/>
          <w:sz w:val="24"/>
          <w:szCs w:val="24"/>
        </w:rPr>
        <w:lastRenderedPageBreak/>
        <w:t>MATERIJALNI RASHODI</w:t>
      </w:r>
      <w:r w:rsidRPr="006A2B0F">
        <w:rPr>
          <w:rFonts w:ascii="Times New Roman" w:hAnsi="Times New Roman"/>
          <w:sz w:val="24"/>
          <w:szCs w:val="24"/>
        </w:rPr>
        <w:t xml:space="preserve"> ostvareni su u iznosu od </w:t>
      </w:r>
      <w:r w:rsidR="00B23113" w:rsidRPr="006A2B0F">
        <w:rPr>
          <w:rFonts w:ascii="Times New Roman" w:hAnsi="Times New Roman"/>
          <w:sz w:val="24"/>
          <w:szCs w:val="24"/>
        </w:rPr>
        <w:t>231.822,47</w:t>
      </w:r>
      <w:r w:rsidRPr="006A2B0F">
        <w:rPr>
          <w:rFonts w:ascii="Times New Roman" w:hAnsi="Times New Roman"/>
          <w:b/>
          <w:sz w:val="24"/>
          <w:szCs w:val="24"/>
        </w:rPr>
        <w:t xml:space="preserve"> </w:t>
      </w:r>
      <w:r w:rsidR="00B23113" w:rsidRPr="006A2B0F">
        <w:rPr>
          <w:rFonts w:ascii="Times New Roman" w:hAnsi="Times New Roman"/>
          <w:bCs/>
          <w:sz w:val="24"/>
          <w:szCs w:val="24"/>
        </w:rPr>
        <w:t>eura</w:t>
      </w:r>
      <w:r w:rsidRPr="006A2B0F">
        <w:rPr>
          <w:rFonts w:ascii="Times New Roman" w:hAnsi="Times New Roman"/>
          <w:sz w:val="24"/>
          <w:szCs w:val="24"/>
        </w:rPr>
        <w:t xml:space="preserve"> ili </w:t>
      </w:r>
      <w:r w:rsidR="00B23113" w:rsidRPr="006A2B0F">
        <w:rPr>
          <w:rFonts w:ascii="Times New Roman" w:hAnsi="Times New Roman"/>
          <w:sz w:val="24"/>
          <w:szCs w:val="24"/>
        </w:rPr>
        <w:t>64,31</w:t>
      </w:r>
      <w:r w:rsidRPr="006A2B0F">
        <w:rPr>
          <w:rFonts w:ascii="Times New Roman" w:hAnsi="Times New Roman"/>
          <w:sz w:val="24"/>
          <w:szCs w:val="24"/>
        </w:rPr>
        <w:t xml:space="preserve">% planiranih materijalnih troškova, što je </w:t>
      </w:r>
      <w:r w:rsidR="00B23113" w:rsidRPr="006A2B0F">
        <w:rPr>
          <w:rFonts w:ascii="Times New Roman" w:hAnsi="Times New Roman"/>
          <w:sz w:val="24"/>
          <w:szCs w:val="24"/>
        </w:rPr>
        <w:t>32,17</w:t>
      </w:r>
      <w:r w:rsidRPr="006A2B0F">
        <w:rPr>
          <w:rFonts w:ascii="Times New Roman" w:hAnsi="Times New Roman"/>
          <w:sz w:val="24"/>
          <w:szCs w:val="24"/>
        </w:rPr>
        <w:t xml:space="preserve">% ukupno ostvarenih rashoda. </w:t>
      </w:r>
    </w:p>
    <w:p w14:paraId="05717B5E" w14:textId="2F25DC7D" w:rsidR="006804F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 xml:space="preserve">Od toga naknade troškova zaposlenima iznose </w:t>
      </w:r>
      <w:r w:rsidR="00B23113" w:rsidRPr="006A2B0F">
        <w:rPr>
          <w:rFonts w:ascii="Times New Roman" w:hAnsi="Times New Roman"/>
          <w:sz w:val="24"/>
          <w:szCs w:val="24"/>
        </w:rPr>
        <w:t>41.280,56 eura</w:t>
      </w:r>
      <w:r w:rsidRPr="006A2B0F">
        <w:rPr>
          <w:rFonts w:ascii="Times New Roman" w:hAnsi="Times New Roman"/>
          <w:sz w:val="24"/>
          <w:szCs w:val="24"/>
        </w:rPr>
        <w:t xml:space="preserve"> što čine rashodi za službena putovanja, naknada za prijevoz na posao i s posla te troškovi stručnog usavršavanja zaposlenika.</w:t>
      </w:r>
    </w:p>
    <w:p w14:paraId="1570EFFF" w14:textId="52541A8A" w:rsidR="006804F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 xml:space="preserve">Rashodi za materijal i energiju iznose </w:t>
      </w:r>
      <w:r w:rsidR="00B23113" w:rsidRPr="006A2B0F">
        <w:rPr>
          <w:rFonts w:ascii="Times New Roman" w:hAnsi="Times New Roman"/>
          <w:sz w:val="24"/>
          <w:szCs w:val="24"/>
        </w:rPr>
        <w:t>20.456,71 eura</w:t>
      </w:r>
      <w:r w:rsidRPr="006A2B0F">
        <w:rPr>
          <w:rFonts w:ascii="Times New Roman" w:hAnsi="Times New Roman"/>
          <w:sz w:val="24"/>
          <w:szCs w:val="24"/>
        </w:rPr>
        <w:t>, a sastoje se od rashoda za uredski materijal, literaturu, materijal za čišćenje i higijenu, trošak energije (el. energija, plin, gorivo), materijal za tekuće i investicijsko održavanje te trošak sitnog inventara.</w:t>
      </w:r>
    </w:p>
    <w:p w14:paraId="1519EF4D" w14:textId="2ACE257D" w:rsidR="00B23113" w:rsidRPr="006A2B0F" w:rsidRDefault="00B23113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>Rashodi za usluge koji se sastoje od troškova</w:t>
      </w:r>
      <w:r w:rsidR="00B8585F" w:rsidRPr="006A2B0F">
        <w:rPr>
          <w:rFonts w:ascii="Times New Roman" w:hAnsi="Times New Roman"/>
          <w:sz w:val="24"/>
          <w:szCs w:val="24"/>
        </w:rPr>
        <w:t xml:space="preserve"> </w:t>
      </w:r>
      <w:r w:rsidRPr="006A2B0F">
        <w:rPr>
          <w:rFonts w:ascii="Times New Roman" w:hAnsi="Times New Roman"/>
          <w:sz w:val="24"/>
          <w:szCs w:val="24"/>
        </w:rPr>
        <w:t>telefona, usluga tekućeg i investicijskog održavanja, usluga promidžbe i informiranja, komunalnih usluga, zakupnina, zdravstvenih usl</w:t>
      </w:r>
      <w:r w:rsidR="000071E8" w:rsidRPr="006A2B0F">
        <w:rPr>
          <w:rFonts w:ascii="Times New Roman" w:hAnsi="Times New Roman"/>
          <w:sz w:val="24"/>
          <w:szCs w:val="24"/>
        </w:rPr>
        <w:t>u</w:t>
      </w:r>
      <w:r w:rsidRPr="006A2B0F">
        <w:rPr>
          <w:rFonts w:ascii="Times New Roman" w:hAnsi="Times New Roman"/>
          <w:sz w:val="24"/>
          <w:szCs w:val="24"/>
        </w:rPr>
        <w:t xml:space="preserve">ga, intelektualnih </w:t>
      </w:r>
      <w:r w:rsidR="000071E8" w:rsidRPr="006A2B0F">
        <w:rPr>
          <w:rFonts w:ascii="Times New Roman" w:hAnsi="Times New Roman"/>
          <w:sz w:val="24"/>
          <w:szCs w:val="24"/>
        </w:rPr>
        <w:t>usluga i računalnih usluga iznose 143.281,52 eura.</w:t>
      </w:r>
    </w:p>
    <w:p w14:paraId="3595B820" w14:textId="28A174C5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sz w:val="24"/>
          <w:szCs w:val="24"/>
        </w:rPr>
        <w:t xml:space="preserve">Naknade troškova osobama izvan radnog odnosa iznose </w:t>
      </w:r>
      <w:r w:rsidR="000071E8" w:rsidRPr="006A2B0F">
        <w:rPr>
          <w:rFonts w:ascii="Times New Roman" w:hAnsi="Times New Roman"/>
          <w:sz w:val="24"/>
          <w:szCs w:val="24"/>
        </w:rPr>
        <w:t>5.299,40 eura</w:t>
      </w:r>
      <w:r w:rsidRPr="006A2B0F">
        <w:rPr>
          <w:rFonts w:ascii="Times New Roman" w:hAnsi="Times New Roman"/>
          <w:sz w:val="24"/>
          <w:szCs w:val="24"/>
        </w:rPr>
        <w:t xml:space="preserve"> </w:t>
      </w:r>
      <w:r w:rsidR="006804F2" w:rsidRPr="006A2B0F">
        <w:rPr>
          <w:rFonts w:ascii="Times New Roman" w:hAnsi="Times New Roman"/>
          <w:sz w:val="24"/>
          <w:szCs w:val="24"/>
        </w:rPr>
        <w:t>dok</w:t>
      </w:r>
      <w:r w:rsidRPr="006A2B0F">
        <w:rPr>
          <w:rFonts w:ascii="Times New Roman" w:hAnsi="Times New Roman"/>
          <w:sz w:val="24"/>
          <w:szCs w:val="24"/>
        </w:rPr>
        <w:t xml:space="preserve"> ostali nespomenuti rashodi iznose </w:t>
      </w:r>
      <w:r w:rsidR="000071E8" w:rsidRPr="006A2B0F">
        <w:rPr>
          <w:rFonts w:ascii="Times New Roman" w:hAnsi="Times New Roman"/>
          <w:sz w:val="24"/>
          <w:szCs w:val="24"/>
        </w:rPr>
        <w:t>21.504,28 eura</w:t>
      </w:r>
      <w:r w:rsidRPr="006A2B0F">
        <w:rPr>
          <w:rFonts w:ascii="Times New Roman" w:hAnsi="Times New Roman"/>
          <w:sz w:val="24"/>
          <w:szCs w:val="24"/>
        </w:rPr>
        <w:t xml:space="preserve">, a obuhvaćaju premije osiguranja, naknade članovima Upravnog vijeća Razvojne agencije PORE KKŽ, reprezentaciju, članarine, pristojbe i naknade te ostale rashode.  </w:t>
      </w:r>
    </w:p>
    <w:p w14:paraId="4BC58688" w14:textId="66E6EC4E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3C6E040" w14:textId="77777777" w:rsidR="00803102" w:rsidRPr="00D03252" w:rsidRDefault="00803102" w:rsidP="0080310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03252">
        <w:rPr>
          <w:rFonts w:ascii="Times New Roman" w:hAnsi="Times New Roman"/>
          <w:bCs/>
          <w:i/>
          <w:iCs/>
          <w:sz w:val="24"/>
          <w:szCs w:val="24"/>
        </w:rPr>
        <w:t>Tablica 11. Materijalni rashodi prema strukturi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21"/>
        <w:gridCol w:w="1692"/>
      </w:tblGrid>
      <w:tr w:rsidR="000071E8" w:rsidRPr="006A2B0F" w14:paraId="1E18F3A3" w14:textId="77777777" w:rsidTr="00554E7D">
        <w:tc>
          <w:tcPr>
            <w:tcW w:w="4530" w:type="dxa"/>
            <w:shd w:val="clear" w:color="auto" w:fill="F2F2F2" w:themeFill="background1" w:themeFillShade="F2"/>
          </w:tcPr>
          <w:p w14:paraId="2F95F714" w14:textId="77777777" w:rsidR="00803102" w:rsidRPr="006A2B0F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Opis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27348F9C" w14:textId="65628839" w:rsidR="00803102" w:rsidRPr="006A2B0F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Izvršenje za 202</w:t>
            </w:r>
            <w:r w:rsidR="000071E8"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676293E" w14:textId="77777777" w:rsidR="00803102" w:rsidRPr="006A2B0F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Struktura</w:t>
            </w:r>
          </w:p>
        </w:tc>
      </w:tr>
      <w:tr w:rsidR="000071E8" w:rsidRPr="006A2B0F" w14:paraId="5575659D" w14:textId="77777777" w:rsidTr="00C15CC1">
        <w:tc>
          <w:tcPr>
            <w:tcW w:w="4530" w:type="dxa"/>
          </w:tcPr>
          <w:p w14:paraId="3E476BF6" w14:textId="77777777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Naknade troškova zaposlenima</w:t>
            </w:r>
          </w:p>
        </w:tc>
        <w:tc>
          <w:tcPr>
            <w:tcW w:w="2834" w:type="dxa"/>
          </w:tcPr>
          <w:p w14:paraId="55059B9A" w14:textId="1F315700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41.280,56</w:t>
            </w:r>
          </w:p>
        </w:tc>
        <w:tc>
          <w:tcPr>
            <w:tcW w:w="1696" w:type="dxa"/>
          </w:tcPr>
          <w:p w14:paraId="532F379D" w14:textId="77CD59AB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17,81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0071E8" w:rsidRPr="006A2B0F" w14:paraId="66C8CEB1" w14:textId="77777777" w:rsidTr="00C15CC1">
        <w:tc>
          <w:tcPr>
            <w:tcW w:w="4530" w:type="dxa"/>
          </w:tcPr>
          <w:p w14:paraId="13C8213D" w14:textId="77777777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Rashodi za materijal i energiju</w:t>
            </w:r>
          </w:p>
        </w:tc>
        <w:tc>
          <w:tcPr>
            <w:tcW w:w="2834" w:type="dxa"/>
          </w:tcPr>
          <w:p w14:paraId="7FAFD588" w14:textId="521D0B38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20.456,71</w:t>
            </w:r>
          </w:p>
        </w:tc>
        <w:tc>
          <w:tcPr>
            <w:tcW w:w="1696" w:type="dxa"/>
          </w:tcPr>
          <w:p w14:paraId="179FC156" w14:textId="1D950BB0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8,82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0071E8" w:rsidRPr="006A2B0F" w14:paraId="2FACECC2" w14:textId="77777777" w:rsidTr="00C15CC1">
        <w:tc>
          <w:tcPr>
            <w:tcW w:w="4530" w:type="dxa"/>
          </w:tcPr>
          <w:p w14:paraId="40AE3CF5" w14:textId="77777777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Rashodi za usluge</w:t>
            </w:r>
          </w:p>
        </w:tc>
        <w:tc>
          <w:tcPr>
            <w:tcW w:w="2834" w:type="dxa"/>
          </w:tcPr>
          <w:p w14:paraId="776568FA" w14:textId="05F969D8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143.281,52</w:t>
            </w:r>
          </w:p>
        </w:tc>
        <w:tc>
          <w:tcPr>
            <w:tcW w:w="1696" w:type="dxa"/>
          </w:tcPr>
          <w:p w14:paraId="08794732" w14:textId="700953E6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61,81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0071E8" w:rsidRPr="006A2B0F" w14:paraId="6F82325C" w14:textId="77777777" w:rsidTr="00C15CC1">
        <w:tc>
          <w:tcPr>
            <w:tcW w:w="4530" w:type="dxa"/>
          </w:tcPr>
          <w:p w14:paraId="18038CAB" w14:textId="77777777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Naknade troškova osobama izvan radnog odnosa</w:t>
            </w:r>
          </w:p>
        </w:tc>
        <w:tc>
          <w:tcPr>
            <w:tcW w:w="2834" w:type="dxa"/>
            <w:vAlign w:val="center"/>
          </w:tcPr>
          <w:p w14:paraId="5B384CD1" w14:textId="5FCB4132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5.299,40</w:t>
            </w:r>
          </w:p>
        </w:tc>
        <w:tc>
          <w:tcPr>
            <w:tcW w:w="1696" w:type="dxa"/>
            <w:vAlign w:val="center"/>
          </w:tcPr>
          <w:p w14:paraId="19E7DFD2" w14:textId="25D41057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2,28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0071E8" w:rsidRPr="006A2B0F" w14:paraId="3FA56E14" w14:textId="77777777" w:rsidTr="00C15CC1">
        <w:tc>
          <w:tcPr>
            <w:tcW w:w="4530" w:type="dxa"/>
          </w:tcPr>
          <w:p w14:paraId="70D2E0AA" w14:textId="77777777" w:rsidR="00803102" w:rsidRPr="006A2B0F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Ostali nespomenuti rashodi</w:t>
            </w:r>
          </w:p>
        </w:tc>
        <w:tc>
          <w:tcPr>
            <w:tcW w:w="2834" w:type="dxa"/>
          </w:tcPr>
          <w:p w14:paraId="6501D3AA" w14:textId="78AF2BEA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21.504,28</w:t>
            </w:r>
          </w:p>
        </w:tc>
        <w:tc>
          <w:tcPr>
            <w:tcW w:w="1696" w:type="dxa"/>
          </w:tcPr>
          <w:p w14:paraId="12220EFB" w14:textId="74C7112A" w:rsidR="00803102" w:rsidRPr="006A2B0F" w:rsidRDefault="000071E8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9,28</w:t>
            </w:r>
            <w:r w:rsidR="00803102" w:rsidRPr="006A2B0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%</w:t>
            </w:r>
          </w:p>
        </w:tc>
      </w:tr>
      <w:tr w:rsidR="000071E8" w:rsidRPr="006A2B0F" w14:paraId="347E6747" w14:textId="77777777" w:rsidTr="00C15CC1">
        <w:tc>
          <w:tcPr>
            <w:tcW w:w="4530" w:type="dxa"/>
          </w:tcPr>
          <w:p w14:paraId="487CC643" w14:textId="77777777" w:rsidR="00803102" w:rsidRPr="006A2B0F" w:rsidRDefault="00803102" w:rsidP="00C15CC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834" w:type="dxa"/>
          </w:tcPr>
          <w:p w14:paraId="75CEDFBD" w14:textId="6EB2B325" w:rsidR="00803102" w:rsidRPr="006A2B0F" w:rsidRDefault="000071E8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231.822,47</w:t>
            </w:r>
          </w:p>
        </w:tc>
        <w:tc>
          <w:tcPr>
            <w:tcW w:w="1696" w:type="dxa"/>
          </w:tcPr>
          <w:p w14:paraId="1C6A48FA" w14:textId="77777777" w:rsidR="00803102" w:rsidRPr="006A2B0F" w:rsidRDefault="00803102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2B0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100,00%</w:t>
            </w:r>
          </w:p>
        </w:tc>
      </w:tr>
    </w:tbl>
    <w:p w14:paraId="704CDB11" w14:textId="7A57B2E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3B5774" w14:textId="51269BF8" w:rsidR="00C7471E" w:rsidRPr="00292C90" w:rsidRDefault="00803102" w:rsidP="00803102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92C90">
        <w:rPr>
          <w:rFonts w:ascii="Times New Roman" w:hAnsi="Times New Roman"/>
          <w:bCs/>
          <w:i/>
          <w:iCs/>
          <w:sz w:val="24"/>
          <w:szCs w:val="24"/>
        </w:rPr>
        <w:t xml:space="preserve">Grafikon </w:t>
      </w:r>
      <w:r w:rsidR="00EF280A" w:rsidRPr="00292C90">
        <w:rPr>
          <w:rFonts w:ascii="Times New Roman" w:hAnsi="Times New Roman"/>
          <w:bCs/>
          <w:i/>
          <w:iCs/>
          <w:sz w:val="24"/>
          <w:szCs w:val="24"/>
        </w:rPr>
        <w:t>5</w:t>
      </w:r>
      <w:r w:rsidRPr="00292C90">
        <w:rPr>
          <w:rFonts w:ascii="Times New Roman" w:hAnsi="Times New Roman"/>
          <w:bCs/>
          <w:i/>
          <w:iCs/>
          <w:sz w:val="24"/>
          <w:szCs w:val="24"/>
        </w:rPr>
        <w:t>. Materijalni rashodi po vrstama za 202</w:t>
      </w:r>
      <w:r w:rsidR="000071E8" w:rsidRPr="00292C90"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292C90">
        <w:rPr>
          <w:rFonts w:ascii="Times New Roman" w:hAnsi="Times New Roman"/>
          <w:bCs/>
          <w:i/>
          <w:iCs/>
          <w:sz w:val="24"/>
          <w:szCs w:val="24"/>
        </w:rPr>
        <w:t>. godinu</w:t>
      </w:r>
    </w:p>
    <w:p w14:paraId="45A2E961" w14:textId="6B16064C" w:rsidR="000071E8" w:rsidRPr="006A2B0F" w:rsidRDefault="00FE6C14" w:rsidP="008031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B0F">
        <w:rPr>
          <w:noProof/>
        </w:rPr>
        <w:drawing>
          <wp:inline distT="0" distB="0" distL="0" distR="0" wp14:anchorId="46FC7198" wp14:editId="0256E5A9">
            <wp:extent cx="5731510" cy="3063875"/>
            <wp:effectExtent l="0" t="0" r="2540" b="3175"/>
            <wp:docPr id="543971116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02390B1-E1CB-4B35-B2D1-1FC09CC1AF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0081F0" w14:textId="5830B29E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785B7B" w14:textId="7777777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5A4085" w14:textId="4AC5A89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hAnsi="Times New Roman"/>
          <w:b/>
          <w:bCs/>
          <w:sz w:val="24"/>
          <w:szCs w:val="24"/>
        </w:rPr>
        <w:t xml:space="preserve">RASHODI ZA NABAVU NEFINANCIJSKE IMOVINE </w:t>
      </w:r>
      <w:r w:rsidRPr="006A2B0F">
        <w:rPr>
          <w:rFonts w:ascii="Times New Roman" w:hAnsi="Times New Roman"/>
          <w:sz w:val="24"/>
          <w:szCs w:val="24"/>
        </w:rPr>
        <w:t xml:space="preserve">ostvareni su u iznosu od </w:t>
      </w:r>
      <w:r w:rsidR="00FE6C14" w:rsidRPr="006A2B0F">
        <w:rPr>
          <w:rFonts w:ascii="Times New Roman" w:hAnsi="Times New Roman"/>
          <w:sz w:val="24"/>
          <w:szCs w:val="24"/>
        </w:rPr>
        <w:t>13.482,70</w:t>
      </w:r>
      <w:r w:rsidRPr="006A2B0F">
        <w:rPr>
          <w:rFonts w:ascii="Times New Roman" w:hAnsi="Times New Roman"/>
          <w:sz w:val="24"/>
          <w:szCs w:val="24"/>
        </w:rPr>
        <w:t xml:space="preserve"> </w:t>
      </w:r>
      <w:r w:rsidR="00FE6C14" w:rsidRPr="006A2B0F">
        <w:rPr>
          <w:rFonts w:ascii="Times New Roman" w:hAnsi="Times New Roman"/>
          <w:sz w:val="24"/>
          <w:szCs w:val="24"/>
        </w:rPr>
        <w:t>eura</w:t>
      </w:r>
      <w:r w:rsidRPr="006A2B0F">
        <w:rPr>
          <w:rFonts w:ascii="Times New Roman" w:hAnsi="Times New Roman"/>
          <w:sz w:val="24"/>
          <w:szCs w:val="24"/>
        </w:rPr>
        <w:t xml:space="preserve"> ili </w:t>
      </w:r>
      <w:r w:rsidR="00FE6C14" w:rsidRPr="006A2B0F">
        <w:rPr>
          <w:rFonts w:ascii="Times New Roman" w:hAnsi="Times New Roman"/>
          <w:sz w:val="24"/>
          <w:szCs w:val="24"/>
        </w:rPr>
        <w:t>1,87</w:t>
      </w:r>
      <w:r w:rsidRPr="006A2B0F">
        <w:rPr>
          <w:rFonts w:ascii="Times New Roman" w:hAnsi="Times New Roman"/>
          <w:sz w:val="24"/>
          <w:szCs w:val="24"/>
        </w:rPr>
        <w:t>% ukupno ostvarenih rashoda. U 202</w:t>
      </w:r>
      <w:r w:rsidR="00FE6C14" w:rsidRPr="006A2B0F">
        <w:rPr>
          <w:rFonts w:ascii="Times New Roman" w:hAnsi="Times New Roman"/>
          <w:sz w:val="24"/>
          <w:szCs w:val="24"/>
        </w:rPr>
        <w:t>3</w:t>
      </w:r>
      <w:r w:rsidRPr="006A2B0F">
        <w:rPr>
          <w:rFonts w:ascii="Times New Roman" w:hAnsi="Times New Roman"/>
          <w:sz w:val="24"/>
          <w:szCs w:val="24"/>
        </w:rPr>
        <w:t>. godin</w:t>
      </w:r>
      <w:r w:rsidR="0012680A" w:rsidRPr="006A2B0F">
        <w:rPr>
          <w:rFonts w:ascii="Times New Roman" w:hAnsi="Times New Roman"/>
          <w:sz w:val="24"/>
          <w:szCs w:val="24"/>
        </w:rPr>
        <w:t>i</w:t>
      </w:r>
      <w:r w:rsidRPr="006A2B0F">
        <w:rPr>
          <w:rFonts w:ascii="Times New Roman" w:hAnsi="Times New Roman"/>
          <w:sz w:val="24"/>
          <w:szCs w:val="24"/>
        </w:rPr>
        <w:t xml:space="preserve"> izvršena je nabava</w:t>
      </w:r>
      <w:r w:rsidR="00FE6C14" w:rsidRPr="006A2B0F">
        <w:rPr>
          <w:rFonts w:ascii="Times New Roman" w:hAnsi="Times New Roman"/>
          <w:sz w:val="24"/>
          <w:szCs w:val="24"/>
        </w:rPr>
        <w:t xml:space="preserve"> multifunkcionalnog uređaja</w:t>
      </w:r>
      <w:r w:rsidR="00C32630" w:rsidRPr="006A2B0F">
        <w:rPr>
          <w:rFonts w:ascii="Times New Roman" w:hAnsi="Times New Roman"/>
          <w:sz w:val="24"/>
          <w:szCs w:val="24"/>
        </w:rPr>
        <w:t xml:space="preserve">, licenci </w:t>
      </w:r>
      <w:r w:rsidR="00FE6C14" w:rsidRPr="006A2B0F">
        <w:rPr>
          <w:rFonts w:ascii="Times New Roman" w:hAnsi="Times New Roman"/>
          <w:sz w:val="24"/>
          <w:szCs w:val="24"/>
        </w:rPr>
        <w:t>te uredskog namještaja</w:t>
      </w:r>
      <w:r w:rsidRPr="006A2B0F">
        <w:rPr>
          <w:rFonts w:ascii="Times New Roman" w:hAnsi="Times New Roman"/>
          <w:sz w:val="24"/>
          <w:szCs w:val="24"/>
        </w:rPr>
        <w:t>.</w:t>
      </w:r>
    </w:p>
    <w:p w14:paraId="28EA36A7" w14:textId="5A1E9B26" w:rsidR="00803102" w:rsidRPr="006A2B0F" w:rsidRDefault="00423482" w:rsidP="00CD188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3.1.</w:t>
      </w:r>
      <w:r w:rsidR="00CD188B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STANJE NEPODMIRENIH OBVEZA</w:t>
      </w:r>
    </w:p>
    <w:p w14:paraId="3C3F72F8" w14:textId="77777777" w:rsidR="00803102" w:rsidRPr="006A2B0F" w:rsidRDefault="00803102" w:rsidP="008031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2A66D0" w14:textId="7299DD7C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Na dan 31.12.202</w:t>
      </w:r>
      <w:r w:rsidR="00FE6C14" w:rsidRPr="006A2B0F">
        <w:rPr>
          <w:rFonts w:ascii="Times New Roman" w:hAnsi="Times New Roman" w:cs="Times New Roman"/>
          <w:sz w:val="24"/>
          <w:szCs w:val="24"/>
        </w:rPr>
        <w:t>3</w:t>
      </w:r>
      <w:r w:rsidRPr="006A2B0F">
        <w:rPr>
          <w:rFonts w:ascii="Times New Roman" w:hAnsi="Times New Roman" w:cs="Times New Roman"/>
          <w:sz w:val="24"/>
          <w:szCs w:val="24"/>
        </w:rPr>
        <w:t xml:space="preserve">. godine stanje obveza </w:t>
      </w:r>
      <w:r w:rsidR="00E736A0">
        <w:rPr>
          <w:rFonts w:ascii="Times New Roman" w:hAnsi="Times New Roman" w:cs="Times New Roman"/>
          <w:sz w:val="24"/>
          <w:szCs w:val="24"/>
        </w:rPr>
        <w:t>Razvojne agencije PORE KKŽ</w:t>
      </w:r>
      <w:r w:rsidRPr="006A2B0F">
        <w:rPr>
          <w:rFonts w:ascii="Times New Roman" w:hAnsi="Times New Roman" w:cs="Times New Roman"/>
          <w:sz w:val="24"/>
          <w:szCs w:val="24"/>
        </w:rPr>
        <w:t xml:space="preserve"> iznosi </w:t>
      </w:r>
      <w:r w:rsidR="00FE6C14" w:rsidRPr="006A2B0F">
        <w:rPr>
          <w:rFonts w:ascii="Times New Roman" w:hAnsi="Times New Roman" w:cs="Times New Roman"/>
          <w:sz w:val="24"/>
          <w:szCs w:val="24"/>
        </w:rPr>
        <w:t>63.5</w:t>
      </w:r>
      <w:r w:rsidR="004103BA" w:rsidRPr="006A2B0F">
        <w:rPr>
          <w:rFonts w:ascii="Times New Roman" w:hAnsi="Times New Roman" w:cs="Times New Roman"/>
          <w:sz w:val="24"/>
          <w:szCs w:val="24"/>
        </w:rPr>
        <w:t>6</w:t>
      </w:r>
      <w:r w:rsidR="00FE6C14" w:rsidRPr="006A2B0F">
        <w:rPr>
          <w:rFonts w:ascii="Times New Roman" w:hAnsi="Times New Roman" w:cs="Times New Roman"/>
          <w:sz w:val="24"/>
          <w:szCs w:val="24"/>
        </w:rPr>
        <w:t>9,20 eura</w:t>
      </w:r>
      <w:r w:rsidRPr="006A2B0F">
        <w:rPr>
          <w:rFonts w:ascii="Times New Roman" w:hAnsi="Times New Roman" w:cs="Times New Roman"/>
          <w:sz w:val="24"/>
          <w:szCs w:val="24"/>
        </w:rPr>
        <w:t xml:space="preserve"> što predstavlja stanje nedospjelih obveza na kraju izvještajnog razdoblja i odnosi se na </w:t>
      </w:r>
      <w:r w:rsidR="00FE6C14" w:rsidRPr="006A2B0F">
        <w:rPr>
          <w:rFonts w:ascii="Times New Roman" w:hAnsi="Times New Roman" w:cs="Times New Roman"/>
          <w:sz w:val="24"/>
          <w:szCs w:val="24"/>
        </w:rPr>
        <w:t xml:space="preserve">međusobne obveze subjekata općeg proračuna </w:t>
      </w:r>
      <w:r w:rsidRPr="006A2B0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E6C14" w:rsidRPr="006A2B0F">
        <w:rPr>
          <w:rFonts w:ascii="Times New Roman" w:hAnsi="Times New Roman" w:cs="Times New Roman"/>
          <w:sz w:val="24"/>
          <w:szCs w:val="24"/>
        </w:rPr>
        <w:t>49.845,99</w:t>
      </w:r>
      <w:r w:rsidRPr="006A2B0F">
        <w:rPr>
          <w:rFonts w:ascii="Times New Roman" w:hAnsi="Times New Roman" w:cs="Times New Roman"/>
          <w:sz w:val="24"/>
          <w:szCs w:val="24"/>
        </w:rPr>
        <w:t xml:space="preserve"> </w:t>
      </w:r>
      <w:r w:rsidR="00FE6C14" w:rsidRPr="006A2B0F">
        <w:rPr>
          <w:rFonts w:ascii="Times New Roman" w:hAnsi="Times New Roman" w:cs="Times New Roman"/>
          <w:sz w:val="24"/>
          <w:szCs w:val="24"/>
        </w:rPr>
        <w:t>eura, obveze za rashode poslovanja 10.748,21 eura te obveze za nabavu nefinancijske imovine 2.975,00 eura</w:t>
      </w:r>
      <w:r w:rsidRPr="006A2B0F">
        <w:rPr>
          <w:rFonts w:ascii="Times New Roman" w:hAnsi="Times New Roman" w:cs="Times New Roman"/>
          <w:sz w:val="24"/>
          <w:szCs w:val="24"/>
        </w:rPr>
        <w:t>.</w:t>
      </w:r>
    </w:p>
    <w:p w14:paraId="1AB727C9" w14:textId="77777777" w:rsidR="00803102" w:rsidRPr="006A2B0F" w:rsidRDefault="00803102" w:rsidP="00CD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E04E9" w14:textId="6EE3A80C" w:rsidR="00803102" w:rsidRPr="006A2B0F" w:rsidRDefault="00423482" w:rsidP="00CD188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</w:t>
      </w:r>
      <w:r w:rsidR="00CD188B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803102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REZULTAT POSLOVANJA</w:t>
      </w:r>
    </w:p>
    <w:p w14:paraId="40C9F333" w14:textId="77777777" w:rsidR="00D03252" w:rsidRDefault="00D0325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4BD7" w14:textId="7AD10C18" w:rsidR="00803102" w:rsidRPr="00D03252" w:rsidRDefault="00803102" w:rsidP="0080310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03252">
        <w:rPr>
          <w:rFonts w:ascii="Times New Roman" w:hAnsi="Times New Roman"/>
          <w:bCs/>
          <w:i/>
          <w:iCs/>
          <w:sz w:val="24"/>
          <w:szCs w:val="24"/>
        </w:rPr>
        <w:t>Tablica 12. Struktura viška/manjka za razdoblje 01.01.-31.12.202</w:t>
      </w:r>
      <w:r w:rsidR="003E456B" w:rsidRPr="00D03252"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D03252">
        <w:rPr>
          <w:rFonts w:ascii="Times New Roman" w:hAnsi="Times New Roman"/>
          <w:bCs/>
          <w:i/>
          <w:iCs/>
          <w:sz w:val="24"/>
          <w:szCs w:val="24"/>
        </w:rPr>
        <w:t>.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3544"/>
      </w:tblGrid>
      <w:tr w:rsidR="00803102" w:rsidRPr="002D6606" w14:paraId="79531797" w14:textId="77777777" w:rsidTr="00554E7D">
        <w:trPr>
          <w:trHeight w:val="330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E14B06" w14:textId="77777777" w:rsidR="00803102" w:rsidRPr="002D6606" w:rsidRDefault="00803102" w:rsidP="00C15CC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>REKAPITULACIJA: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080FCE" w14:textId="2B49DB42" w:rsidR="00803102" w:rsidRPr="002D6606" w:rsidRDefault="00803102" w:rsidP="00C15C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>01.01.-31.12.202</w:t>
            </w:r>
            <w:r w:rsidR="00BB1BD2" w:rsidRPr="002D66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803102" w:rsidRPr="002D6606" w14:paraId="56A50761" w14:textId="77777777" w:rsidTr="00C15CC1">
        <w:trPr>
          <w:trHeight w:val="330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002F" w14:textId="762813C8" w:rsidR="00803102" w:rsidRPr="002D6606" w:rsidRDefault="00803102" w:rsidP="00C1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6">
              <w:rPr>
                <w:rFonts w:ascii="Times New Roman" w:hAnsi="Times New Roman"/>
                <w:sz w:val="24"/>
                <w:szCs w:val="24"/>
              </w:rPr>
              <w:t>TEKUĆI PRIHODI 202</w:t>
            </w:r>
            <w:r w:rsidR="003E456B" w:rsidRPr="002D6606">
              <w:rPr>
                <w:rFonts w:ascii="Times New Roman" w:hAnsi="Times New Roman"/>
                <w:sz w:val="24"/>
                <w:szCs w:val="24"/>
              </w:rPr>
              <w:t>3</w:t>
            </w:r>
            <w:r w:rsidRPr="002D6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14:paraId="04BCB629" w14:textId="5AF399FF" w:rsidR="00803102" w:rsidRPr="002D6606" w:rsidRDefault="003E456B" w:rsidP="00C15C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bCs/>
                <w:sz w:val="24"/>
                <w:szCs w:val="24"/>
              </w:rPr>
              <w:t>719.312,84</w:t>
            </w:r>
          </w:p>
        </w:tc>
      </w:tr>
      <w:tr w:rsidR="00803102" w:rsidRPr="002D6606" w14:paraId="58D8617B" w14:textId="77777777" w:rsidTr="00554E7D">
        <w:trPr>
          <w:trHeight w:val="330"/>
          <w:jc w:val="center"/>
        </w:trPr>
        <w:tc>
          <w:tcPr>
            <w:tcW w:w="47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14:paraId="1418EED4" w14:textId="62C4707E" w:rsidR="00803102" w:rsidRPr="002D6606" w:rsidRDefault="00803102" w:rsidP="00C1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6">
              <w:rPr>
                <w:rFonts w:ascii="Times New Roman" w:hAnsi="Times New Roman"/>
                <w:sz w:val="24"/>
                <w:szCs w:val="24"/>
              </w:rPr>
              <w:t>TEKUĆI RASHODI 202</w:t>
            </w:r>
            <w:r w:rsidR="003E456B" w:rsidRPr="002D6606">
              <w:rPr>
                <w:rFonts w:ascii="Times New Roman" w:hAnsi="Times New Roman"/>
                <w:sz w:val="24"/>
                <w:szCs w:val="24"/>
              </w:rPr>
              <w:t>3</w:t>
            </w:r>
            <w:r w:rsidRPr="002D6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B8F05A6" w14:textId="52B9C5C2" w:rsidR="00803102" w:rsidRPr="002D6606" w:rsidRDefault="003E456B" w:rsidP="00C15C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720.666,94</w:t>
            </w:r>
          </w:p>
        </w:tc>
      </w:tr>
      <w:tr w:rsidR="00803102" w:rsidRPr="002D6606" w14:paraId="00DDAA97" w14:textId="77777777" w:rsidTr="00554E7D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20A406" w14:textId="17902933" w:rsidR="00803102" w:rsidRPr="002D6606" w:rsidRDefault="003E456B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>MANJAK</w:t>
            </w:r>
            <w:r w:rsidR="00803102"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 TEKUĆEG RAZDOBLJA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4122B6" w14:textId="3155F1D3" w:rsidR="00803102" w:rsidRPr="002D6606" w:rsidRDefault="003E456B" w:rsidP="00C15CC1">
            <w:p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bCs/>
                <w:sz w:val="24"/>
                <w:szCs w:val="24"/>
              </w:rPr>
              <w:t>-1.354,10</w:t>
            </w:r>
          </w:p>
        </w:tc>
      </w:tr>
      <w:tr w:rsidR="00803102" w:rsidRPr="002D6606" w14:paraId="73FDCF73" w14:textId="77777777" w:rsidTr="00554E7D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E61821" w14:textId="24576F28" w:rsidR="00803102" w:rsidRPr="002D6606" w:rsidRDefault="00803102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PRENESENI </w:t>
            </w:r>
            <w:r w:rsidR="003E456B" w:rsidRPr="002D6606">
              <w:rPr>
                <w:rFonts w:ascii="Times New Roman" w:hAnsi="Times New Roman"/>
                <w:b/>
                <w:sz w:val="24"/>
                <w:szCs w:val="24"/>
              </w:rPr>
              <w:t>MANJAK</w:t>
            </w: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 IZ PRETHODNIH GODINA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0388972" w14:textId="2D799DE9" w:rsidR="00803102" w:rsidRPr="002D6606" w:rsidRDefault="003E456B" w:rsidP="00C15CC1">
            <w:p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bCs/>
                <w:sz w:val="24"/>
                <w:szCs w:val="24"/>
              </w:rPr>
              <w:t>-7.284,24</w:t>
            </w:r>
          </w:p>
        </w:tc>
      </w:tr>
      <w:tr w:rsidR="00803102" w:rsidRPr="002D6606" w14:paraId="19C0226C" w14:textId="77777777" w:rsidTr="00554E7D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B0C6456" w14:textId="77777777" w:rsidR="00803102" w:rsidRPr="002D6606" w:rsidRDefault="00803102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KOREKCIJA REZULTATA*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5572374B" w14:textId="67BB6881" w:rsidR="00803102" w:rsidRPr="002D6606" w:rsidRDefault="003E456B" w:rsidP="00871F69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bCs/>
                <w:sz w:val="24"/>
                <w:szCs w:val="24"/>
              </w:rPr>
              <w:t>57.527,87</w:t>
            </w:r>
          </w:p>
        </w:tc>
      </w:tr>
      <w:tr w:rsidR="00803102" w:rsidRPr="002D6606" w14:paraId="242D124F" w14:textId="77777777" w:rsidTr="00554E7D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F54B78" w14:textId="458F7624" w:rsidR="00803102" w:rsidRPr="002D6606" w:rsidRDefault="00803102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PRENESENI </w:t>
            </w:r>
            <w:r w:rsidR="0028724F"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MANJAK </w:t>
            </w: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>ZA NAREDNO RAZDOBLJE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5D2A50" w14:textId="75912CB0" w:rsidR="00803102" w:rsidRPr="002D6606" w:rsidRDefault="003E456B" w:rsidP="00871F69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bCs/>
                <w:sz w:val="24"/>
                <w:szCs w:val="24"/>
              </w:rPr>
              <w:t>66.166,21</w:t>
            </w:r>
          </w:p>
        </w:tc>
      </w:tr>
    </w:tbl>
    <w:p w14:paraId="702432F8" w14:textId="77777777" w:rsidR="00803102" w:rsidRPr="006A2B0F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C5E75B9" w14:textId="593FB845" w:rsidR="00D04613" w:rsidRPr="006A2B0F" w:rsidRDefault="00803102" w:rsidP="00D02A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Za razdoblje 01.01.-31.12.202</w:t>
      </w:r>
      <w:r w:rsidR="003E456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godine ostvareni su ukupni prihodi i primici u iznosu od </w:t>
      </w:r>
      <w:r w:rsidR="00A573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719.312,84 eura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 čega iz proračuna KKŽ </w:t>
      </w:r>
      <w:r w:rsidR="00A573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295.662,90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103B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eura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ili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41,10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%, a iz sredstava EU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423.352,82 eura 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ili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58,58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 ostali prihodi u iznosu od 297,12 eura ili 0,04%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Za razdoblje 01.01.-31.12.202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godine ostvareni su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ukupni rashodi i izdaci u iznosu od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720.666,94 eura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od čega iz proračuna KKŽ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297.297,65 eura 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ili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41,25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%, a iz sredstava EU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423.369,29 eura</w:t>
      </w:r>
      <w:r w:rsidR="00D0461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ili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58,75</w:t>
      </w:r>
      <w:r w:rsidR="008F7ED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14:paraId="158D2752" w14:textId="0CB20A0D" w:rsidR="00D02AA6" w:rsidRPr="006A2B0F" w:rsidRDefault="008F7EDA" w:rsidP="00D02A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80310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ekući rezultat poslovanja za razdoblje 01.01.-31.12.202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0310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godine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</w:t>
      </w:r>
      <w:r w:rsidR="0080310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manjak</w:t>
      </w:r>
      <w:r w:rsidR="0080310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prihoda u iznosu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1.354,10 eura</w:t>
      </w:r>
      <w:r w:rsidR="0080310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Preneseni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manjak po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slovanja iz 202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godine iznosio je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7.284,24 eura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092E877B" w14:textId="155CDA1D" w:rsidR="00D02AA6" w:rsidRPr="006A2B0F" w:rsidRDefault="00803102" w:rsidP="00BA0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*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kraju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godine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izvršena </w:t>
      </w:r>
      <w:r w:rsidR="0057789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korekcija rezultata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na ime predfinanciranja  provedbe aktivn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sti po EU projektima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 iznosu od </w:t>
      </w:r>
      <w:r w:rsidR="00FC739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57.527,87 eura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iz Proračuna </w:t>
      </w:r>
      <w:r w:rsidR="00E736A0">
        <w:rPr>
          <w:rFonts w:ascii="Times New Roman" w:eastAsia="Calibri" w:hAnsi="Times New Roman" w:cs="Times New Roman"/>
          <w:sz w:val="24"/>
          <w:szCs w:val="24"/>
          <w:lang w:eastAsia="ar-SA"/>
        </w:rPr>
        <w:t>KKŽ</w:t>
      </w:r>
      <w:r w:rsidR="00DE7B6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projekte „UZ PORU PO POTPORU“,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85A12" w:rsidRPr="006A2B0F">
        <w:rPr>
          <w:rFonts w:ascii="Times New Roman" w:eastAsia="Calibri" w:hAnsi="Times New Roman" w:cs="Times New Roman"/>
          <w:sz w:val="24"/>
          <w:szCs w:val="24"/>
        </w:rPr>
        <w:t>B Light - suradnja malih i srednjih poduzeća u pograničnom području</w:t>
      </w:r>
      <w:r w:rsidR="00BA025B" w:rsidRPr="006A2B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025B" w:rsidRPr="006A2B0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TOURBO - Usmjeravanje mikro, malih i srednjih poduzetnika (MSP-ova) prema digitalnoj i zelenoj tranziciji u turizmu u Koprivničko-križevačkoj županiji“</w:t>
      </w:r>
      <w:r w:rsidR="00BA025B" w:rsidRPr="006A2B0F">
        <w:rPr>
          <w:rFonts w:ascii="Times New Roman" w:hAnsi="Times New Roman" w:cs="Times New Roman"/>
          <w:sz w:val="24"/>
          <w:szCs w:val="24"/>
        </w:rPr>
        <w:t xml:space="preserve"> </w:t>
      </w:r>
      <w:r w:rsidR="00785A12" w:rsidRPr="006A2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AA6" w:rsidRPr="006A2B0F">
        <w:rPr>
          <w:rFonts w:ascii="Times New Roman" w:eastAsia="Calibri" w:hAnsi="Times New Roman" w:cs="Times New Roman"/>
          <w:sz w:val="24"/>
          <w:szCs w:val="24"/>
        </w:rPr>
        <w:t>i Europe Direct Koprivničko-križevačke županije</w:t>
      </w:r>
      <w:r w:rsidR="00BA025B" w:rsidRPr="006A2B0F">
        <w:rPr>
          <w:rFonts w:ascii="Times New Roman" w:eastAsia="Calibri" w:hAnsi="Times New Roman" w:cs="Times New Roman"/>
          <w:sz w:val="24"/>
          <w:szCs w:val="24"/>
        </w:rPr>
        <w:t>.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27DA29E" w14:textId="77777777" w:rsidR="00B52B43" w:rsidRPr="006A2B0F" w:rsidRDefault="00130CEB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Tekući re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zultat poslovanja za razdoblje 01.01.-31.12.202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godine je manjak prihoda i primitaka u iznosu od 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- 66.166,21 eura</w:t>
      </w:r>
      <w:r w:rsidR="00D02AA6" w:rsidRPr="006A2B0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="00D02AA6" w:rsidRPr="006A2B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85A1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a sastoji</w:t>
      </w:r>
      <w:r w:rsidR="00DE7B6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se</w:t>
      </w:r>
      <w:r w:rsidR="00785A1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 tekućeg </w:t>
      </w:r>
      <w:r w:rsidR="00712CA0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manjka</w:t>
      </w:r>
      <w:r w:rsidR="00785A1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prihoda za 202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785A1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godinu u iznosu od </w:t>
      </w:r>
      <w:r w:rsidR="00712CA0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1.354,10 eura,</w:t>
      </w:r>
      <w:r w:rsidR="00785A1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prenesenog 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manjka</w:t>
      </w:r>
      <w:r w:rsidR="00785A1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poslovanja iz 202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85A12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godine u iznosu od</w:t>
      </w:r>
      <w:r w:rsidR="00712CA0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7.284,24 eura</w:t>
      </w:r>
      <w:r w:rsidR="00D02AA6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umanjenja za izvršenu korekciju rezultata u iznosu od</w:t>
      </w:r>
      <w:r w:rsidR="004103B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12CA0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A025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57.527,87 eura i</w:t>
      </w:r>
      <w:r w:rsidR="00803102" w:rsidRPr="006A2B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predstavlja metodološki manjak. </w:t>
      </w:r>
      <w:r w:rsidRPr="006A2B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88710FD" w14:textId="27FCA61E" w:rsidR="00803102" w:rsidRPr="006A2B0F" w:rsidRDefault="00130CEB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Konačan</w:t>
      </w:r>
      <w:r w:rsidR="00B42433" w:rsidRPr="006A2B0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rezultat poslovanja odnosno manjak prihoda i primitaka za pokriće u 2024. godini po izvorima prikazan je u Tablici br. 13.</w:t>
      </w:r>
    </w:p>
    <w:p w14:paraId="27C64B66" w14:textId="77777777" w:rsidR="00054E83" w:rsidRDefault="00054E83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AB18B2B" w14:textId="77777777" w:rsidR="00423482" w:rsidRDefault="00423482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A621866" w14:textId="77777777" w:rsidR="00423482" w:rsidRDefault="00423482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7426DA4" w14:textId="77777777" w:rsidR="00423482" w:rsidRDefault="00423482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19EC0EE" w14:textId="77777777" w:rsidR="00423482" w:rsidRDefault="00423482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7B25B4A" w14:textId="77777777" w:rsidR="00423482" w:rsidRPr="006A2B0F" w:rsidRDefault="00423482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0D13498" w14:textId="44AD7857" w:rsidR="00054E83" w:rsidRPr="00D03252" w:rsidRDefault="00054E83" w:rsidP="00054E8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03252">
        <w:rPr>
          <w:rFonts w:ascii="Times New Roman" w:hAnsi="Times New Roman"/>
          <w:bCs/>
          <w:i/>
          <w:iCs/>
          <w:sz w:val="24"/>
          <w:szCs w:val="24"/>
        </w:rPr>
        <w:lastRenderedPageBreak/>
        <w:t>Tablica 13. Struktura viška/manjka za razdoblje 01.01.-31.12.2023. po izvorima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3544"/>
      </w:tblGrid>
      <w:tr w:rsidR="00054E83" w:rsidRPr="002D6606" w14:paraId="71A5D3F4" w14:textId="77777777" w:rsidTr="0089285D">
        <w:trPr>
          <w:trHeight w:val="330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DB91E0" w14:textId="62B38392" w:rsidR="00054E83" w:rsidRPr="002D6606" w:rsidRDefault="00054E83" w:rsidP="00F61DB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>MANJAK PRIHODA: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77EC01" w14:textId="77777777" w:rsidR="00054E83" w:rsidRPr="002D6606" w:rsidRDefault="00054E83" w:rsidP="00F61DB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01.01.-31.12.2023. </w:t>
            </w:r>
          </w:p>
        </w:tc>
      </w:tr>
      <w:tr w:rsidR="00054E83" w:rsidRPr="002D6606" w14:paraId="2DD0B8C4" w14:textId="77777777" w:rsidTr="0089285D">
        <w:trPr>
          <w:trHeight w:val="330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1F92" w14:textId="0928D908" w:rsidR="00054E83" w:rsidRPr="002D6606" w:rsidRDefault="00054E83" w:rsidP="00F61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6">
              <w:rPr>
                <w:rFonts w:ascii="Times New Roman" w:hAnsi="Times New Roman"/>
                <w:sz w:val="24"/>
                <w:szCs w:val="24"/>
              </w:rPr>
              <w:t>I</w:t>
            </w:r>
            <w:r w:rsidR="00130CEB" w:rsidRPr="002D6606">
              <w:rPr>
                <w:rFonts w:ascii="Times New Roman" w:hAnsi="Times New Roman"/>
                <w:sz w:val="24"/>
                <w:szCs w:val="24"/>
              </w:rPr>
              <w:t>zvor</w:t>
            </w:r>
            <w:r w:rsidRPr="002D6606">
              <w:rPr>
                <w:rFonts w:ascii="Times New Roman" w:hAnsi="Times New Roman"/>
                <w:sz w:val="24"/>
                <w:szCs w:val="24"/>
              </w:rPr>
              <w:t xml:space="preserve"> 3.1. V</w:t>
            </w:r>
            <w:r w:rsidR="00130CEB" w:rsidRPr="002D6606">
              <w:rPr>
                <w:rFonts w:ascii="Times New Roman" w:hAnsi="Times New Roman"/>
                <w:sz w:val="24"/>
                <w:szCs w:val="24"/>
              </w:rPr>
              <w:t>lastiti prihodi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14:paraId="68E4D51D" w14:textId="035F1495" w:rsidR="00054E83" w:rsidRPr="002D6606" w:rsidRDefault="00054E83" w:rsidP="00F61DB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bCs/>
                <w:sz w:val="24"/>
                <w:szCs w:val="24"/>
              </w:rPr>
              <w:t>8,14</w:t>
            </w:r>
          </w:p>
        </w:tc>
      </w:tr>
      <w:tr w:rsidR="00054E83" w:rsidRPr="002D6606" w14:paraId="52B46E17" w14:textId="77777777" w:rsidTr="0089285D">
        <w:trPr>
          <w:trHeight w:val="330"/>
          <w:jc w:val="center"/>
        </w:trPr>
        <w:tc>
          <w:tcPr>
            <w:tcW w:w="47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14:paraId="3B4D1204" w14:textId="69A5C8EA" w:rsidR="00054E83" w:rsidRPr="002D6606" w:rsidRDefault="00054E83" w:rsidP="00F61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6">
              <w:rPr>
                <w:rFonts w:ascii="Times New Roman" w:hAnsi="Times New Roman"/>
                <w:sz w:val="24"/>
                <w:szCs w:val="24"/>
              </w:rPr>
              <w:t>I</w:t>
            </w:r>
            <w:r w:rsidR="00130CEB" w:rsidRPr="002D6606">
              <w:rPr>
                <w:rFonts w:ascii="Times New Roman" w:hAnsi="Times New Roman"/>
                <w:sz w:val="24"/>
                <w:szCs w:val="24"/>
              </w:rPr>
              <w:t>zvor</w:t>
            </w:r>
            <w:r w:rsidRPr="002D6606">
              <w:rPr>
                <w:rFonts w:ascii="Times New Roman" w:hAnsi="Times New Roman"/>
                <w:sz w:val="24"/>
                <w:szCs w:val="24"/>
              </w:rPr>
              <w:t xml:space="preserve"> 5.8. </w:t>
            </w:r>
            <w:r w:rsidR="00B52B43" w:rsidRPr="002D6606">
              <w:rPr>
                <w:rFonts w:ascii="Times New Roman" w:hAnsi="Times New Roman" w:cs="Times New Roman"/>
                <w:sz w:val="24"/>
                <w:szCs w:val="24"/>
              </w:rPr>
              <w:t>Pomoći od inozemstva i od subjekata unutar općeg proračuna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6B902FD" w14:textId="218C8571" w:rsidR="00054E83" w:rsidRPr="002D6606" w:rsidRDefault="00054E83" w:rsidP="00F61DB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C45F7" w:rsidRPr="002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60.328,63</w:t>
            </w:r>
          </w:p>
        </w:tc>
      </w:tr>
      <w:tr w:rsidR="00C0063B" w:rsidRPr="002D6606" w14:paraId="242B108C" w14:textId="77777777" w:rsidTr="0089285D">
        <w:trPr>
          <w:trHeight w:val="330"/>
          <w:jc w:val="center"/>
        </w:trPr>
        <w:tc>
          <w:tcPr>
            <w:tcW w:w="47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0BB0E1BA" w14:textId="5516C0D9" w:rsidR="00C0063B" w:rsidRPr="002D6606" w:rsidRDefault="00C0063B" w:rsidP="00F61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6">
              <w:rPr>
                <w:rFonts w:ascii="Times New Roman" w:hAnsi="Times New Roman"/>
                <w:sz w:val="24"/>
                <w:szCs w:val="24"/>
              </w:rPr>
              <w:t>I</w:t>
            </w:r>
            <w:r w:rsidR="00130CEB" w:rsidRPr="002D6606">
              <w:rPr>
                <w:rFonts w:ascii="Times New Roman" w:hAnsi="Times New Roman"/>
                <w:sz w:val="24"/>
                <w:szCs w:val="24"/>
              </w:rPr>
              <w:t>zvor</w:t>
            </w:r>
            <w:r w:rsidRPr="002D6606">
              <w:rPr>
                <w:rFonts w:ascii="Times New Roman" w:hAnsi="Times New Roman"/>
                <w:sz w:val="24"/>
                <w:szCs w:val="24"/>
              </w:rPr>
              <w:t xml:space="preserve"> 7.3. P</w:t>
            </w:r>
            <w:r w:rsidR="00130CEB" w:rsidRPr="002D6606">
              <w:rPr>
                <w:rFonts w:ascii="Times New Roman" w:hAnsi="Times New Roman"/>
                <w:sz w:val="24"/>
                <w:szCs w:val="24"/>
              </w:rPr>
              <w:t>rihodi s naknade šteta i osnova osiguranja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D06122" w14:textId="350559DB" w:rsidR="00C0063B" w:rsidRPr="002D6606" w:rsidRDefault="00C0063B" w:rsidP="00F61DB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296,90</w:t>
            </w:r>
          </w:p>
        </w:tc>
      </w:tr>
      <w:tr w:rsidR="00054E83" w:rsidRPr="002D6606" w14:paraId="5D97CC5D" w14:textId="77777777" w:rsidTr="0089285D">
        <w:trPr>
          <w:trHeight w:val="330"/>
          <w:jc w:val="center"/>
        </w:trPr>
        <w:tc>
          <w:tcPr>
            <w:tcW w:w="47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7E72F52F" w14:textId="2A37C14E" w:rsidR="00054E83" w:rsidRPr="002D6606" w:rsidRDefault="00054E83" w:rsidP="00F61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6">
              <w:rPr>
                <w:rFonts w:ascii="Times New Roman" w:hAnsi="Times New Roman"/>
                <w:sz w:val="24"/>
                <w:szCs w:val="24"/>
              </w:rPr>
              <w:t>I</w:t>
            </w:r>
            <w:r w:rsidR="00130CEB" w:rsidRPr="002D6606">
              <w:rPr>
                <w:rFonts w:ascii="Times New Roman" w:hAnsi="Times New Roman"/>
                <w:sz w:val="24"/>
                <w:szCs w:val="24"/>
              </w:rPr>
              <w:t>zvor</w:t>
            </w:r>
            <w:r w:rsidRPr="002D6606">
              <w:rPr>
                <w:rFonts w:ascii="Times New Roman" w:hAnsi="Times New Roman"/>
                <w:sz w:val="24"/>
                <w:szCs w:val="24"/>
              </w:rPr>
              <w:t xml:space="preserve"> 1.1. </w:t>
            </w:r>
            <w:r w:rsidR="00130CEB" w:rsidRPr="002D6606">
              <w:rPr>
                <w:rFonts w:ascii="Times New Roman" w:hAnsi="Times New Roman"/>
                <w:sz w:val="24"/>
                <w:szCs w:val="24"/>
              </w:rPr>
              <w:t>i</w:t>
            </w:r>
            <w:r w:rsidRPr="002D6606">
              <w:rPr>
                <w:rFonts w:ascii="Times New Roman" w:hAnsi="Times New Roman"/>
                <w:sz w:val="24"/>
                <w:szCs w:val="24"/>
              </w:rPr>
              <w:t xml:space="preserve"> 1.9.</w:t>
            </w:r>
            <w:r w:rsidR="00C0063B" w:rsidRPr="002D6606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42433" w:rsidRPr="002D6606">
              <w:rPr>
                <w:rFonts w:ascii="Times New Roman" w:hAnsi="Times New Roman"/>
                <w:sz w:val="24"/>
                <w:szCs w:val="24"/>
              </w:rPr>
              <w:t xml:space="preserve">roračun </w:t>
            </w:r>
            <w:r w:rsidR="00C0063B" w:rsidRPr="002D6606">
              <w:rPr>
                <w:rFonts w:ascii="Times New Roman" w:hAnsi="Times New Roman"/>
                <w:sz w:val="24"/>
                <w:szCs w:val="24"/>
              </w:rPr>
              <w:t xml:space="preserve"> KKŽ</w:t>
            </w:r>
            <w:r w:rsidR="00B42433" w:rsidRPr="002D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DB2" w:rsidRPr="002D6606">
              <w:rPr>
                <w:rFonts w:ascii="Times New Roman" w:hAnsi="Times New Roman"/>
                <w:sz w:val="24"/>
                <w:szCs w:val="24"/>
              </w:rPr>
              <w:t>-</w:t>
            </w:r>
            <w:r w:rsidR="00B42433" w:rsidRPr="002D6606">
              <w:rPr>
                <w:rFonts w:ascii="Times New Roman" w:hAnsi="Times New Roman"/>
                <w:sz w:val="24"/>
                <w:szCs w:val="24"/>
              </w:rPr>
              <w:t xml:space="preserve"> Opći prihodi i primici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350F47" w14:textId="3A08EAB9" w:rsidR="00054E83" w:rsidRPr="002D6606" w:rsidRDefault="00C0063B" w:rsidP="00F61DB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C45F7" w:rsidRPr="002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6.142,62</w:t>
            </w:r>
          </w:p>
        </w:tc>
      </w:tr>
      <w:tr w:rsidR="00054E83" w:rsidRPr="002D6606" w14:paraId="3E6E6FCA" w14:textId="77777777" w:rsidTr="0089285D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2F76453" w14:textId="0EA8AB4E" w:rsidR="00054E83" w:rsidRPr="002D6606" w:rsidRDefault="00C0063B" w:rsidP="00F61DB2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 xml:space="preserve">MANJAK </w:t>
            </w:r>
            <w:r w:rsidR="00130CEB" w:rsidRPr="002D660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D6606">
              <w:rPr>
                <w:rFonts w:ascii="Times New Roman" w:hAnsi="Times New Roman"/>
                <w:b/>
                <w:sz w:val="24"/>
                <w:szCs w:val="24"/>
              </w:rPr>
              <w:t>RIHODA I PRIMITAKA ZA POKRIĆE U 2024. GODINI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7D0C050" w14:textId="1924EF2E" w:rsidR="00054E83" w:rsidRPr="002D6606" w:rsidRDefault="00C0063B" w:rsidP="00F61DB2">
            <w:p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06">
              <w:rPr>
                <w:rFonts w:ascii="Times New Roman" w:hAnsi="Times New Roman"/>
                <w:b/>
                <w:bCs/>
                <w:sz w:val="24"/>
                <w:szCs w:val="24"/>
              </w:rPr>
              <w:t>-66.166,21</w:t>
            </w:r>
          </w:p>
        </w:tc>
      </w:tr>
    </w:tbl>
    <w:p w14:paraId="7113E68E" w14:textId="77777777" w:rsidR="00054E83" w:rsidRPr="006A2B0F" w:rsidRDefault="00054E83" w:rsidP="00F61D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C2C7042" w14:textId="15DFC49B" w:rsidR="00B52B43" w:rsidRPr="00F61DB2" w:rsidRDefault="00B52B43" w:rsidP="00F61D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 navedenoj tablici vidljivo je </w:t>
      </w:r>
      <w:r w:rsidR="00F61DB2"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kako</w:t>
      </w:r>
      <w:r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je u strukturi manjka najviše zastupljen manjak prihoda s osnova provedbe EU projekata za što se očekuj</w:t>
      </w:r>
      <w:r w:rsidR="00FD2E38"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 priljev</w:t>
      </w:r>
      <w:r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financijsk</w:t>
      </w:r>
      <w:r w:rsidR="00F61DB2"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ih</w:t>
      </w:r>
      <w:r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sredst</w:t>
      </w:r>
      <w:r w:rsidR="00F61DB2"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F61D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va u budućem razdoblju.</w:t>
      </w:r>
    </w:p>
    <w:p w14:paraId="74B74583" w14:textId="77777777" w:rsidR="00054E83" w:rsidRPr="006A2B0F" w:rsidRDefault="00054E83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bookmarkEnd w:id="0"/>
    <w:bookmarkEnd w:id="1"/>
    <w:p w14:paraId="256C6D39" w14:textId="77777777" w:rsidR="00806C1F" w:rsidRPr="006A2B0F" w:rsidRDefault="00806C1F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14:paraId="067FBA6C" w14:textId="77777777" w:rsidR="00871F69" w:rsidRPr="006A2B0F" w:rsidRDefault="00871F69" w:rsidP="00871F6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B0F">
        <w:rPr>
          <w:rFonts w:ascii="Times New Roman" w:eastAsia="Calibri" w:hAnsi="Times New Roman" w:cs="Times New Roman"/>
          <w:b/>
          <w:bCs/>
          <w:sz w:val="28"/>
          <w:szCs w:val="28"/>
        </w:rPr>
        <w:t>3.2. POSEBNI DIO – OPIS AKTIVNOSTI</w:t>
      </w:r>
    </w:p>
    <w:p w14:paraId="6D1F81D2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C44528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sz w:val="24"/>
          <w:szCs w:val="24"/>
        </w:rPr>
        <w:t>Razvojna agencija PORA KKŽ u razdoblju od 1. siječnja do 31. prosinca 2023. godine provodila je aktivnosti sukladno Programu rada – PROGRAM 1013 Strateško planiranje, regionalni i ruralni razvoj te poticanje poduzetništva, priprema i provedba razvojnih projekata i Financijskom planu Razvojne agencije PORE KKŽ za 2023. godinu koje su obuhvaćale poslove strateškog planiranja i regionalnog razvoja, poticanja poduzetništva te pružanje stručne pomoći u pripremi i provedbi projekata (su)financiranih sredstvima iz Europskih strukturnih i investicijskih fondova, a sukladno Zakonu o regionalnom razvoju Republike Hrvatske.</w:t>
      </w:r>
    </w:p>
    <w:p w14:paraId="409DF0B7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86697" w14:textId="0BF20A33" w:rsidR="00871F69" w:rsidRPr="006A2B0F" w:rsidRDefault="001C7F5E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>1. AKTIVNOST A100025 STRATEŠKO PLANIRANJE, REGIONALNI RAZVOJ TE POTICANJE PODUZETNIŠTVA</w:t>
      </w:r>
    </w:p>
    <w:p w14:paraId="56F4549E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65F2037" w14:textId="24E84091" w:rsidR="00871F69" w:rsidRPr="006A2B0F" w:rsidRDefault="001C7F5E" w:rsidP="001C7F5E">
      <w:pPr>
        <w:pStyle w:val="ListParagraph"/>
        <w:numPr>
          <w:ilvl w:val="3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71F69"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>STRATEŠKO PLANIRANJE I REGIONALNI RAZVOJ</w:t>
      </w:r>
    </w:p>
    <w:p w14:paraId="3A63D09F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473A4E" w14:textId="539263B0" w:rsidR="00871F69" w:rsidRPr="006A2B0F" w:rsidRDefault="001C7F5E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1.1.1. </w:t>
      </w:r>
      <w:bookmarkStart w:id="5" w:name="_Hlk155958324"/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>KOORDINACIJA PRIPREME I PRIPREMA IZVJEŠĆA O PROVEDBI PLANA RAZVOJA KKŽ 2021-2027. ZA 2022. GODINU</w:t>
      </w:r>
    </w:p>
    <w:p w14:paraId="2194944F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6" w:name="_Hlk155958475"/>
      <w:bookmarkEnd w:id="5"/>
      <w:r w:rsidRPr="006A2B0F">
        <w:rPr>
          <w:rFonts w:ascii="Times New Roman" w:eastAsia="Calibri" w:hAnsi="Times New Roman" w:cs="Times New Roman"/>
          <w:iCs/>
          <w:sz w:val="24"/>
          <w:szCs w:val="24"/>
        </w:rPr>
        <w:t xml:space="preserve">Temeljne aktivnosti Razvojne agencije PORE KKŽ kao regionalnog koordinatora u pripremi Izvješća o provedbi Plana razvoja KKŽ 2021-2027. za 2022. godinu bile su sljedeće: </w:t>
      </w:r>
    </w:p>
    <w:p w14:paraId="5C0A6999" w14:textId="473E8211" w:rsidR="00871F69" w:rsidRPr="006A2B0F" w:rsidRDefault="00871F69" w:rsidP="00871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A2B0F">
        <w:rPr>
          <w:rFonts w:ascii="Times New Roman" w:eastAsia="Calibri" w:hAnsi="Times New Roman" w:cs="Times New Roman"/>
          <w:iCs/>
          <w:sz w:val="24"/>
          <w:szCs w:val="24"/>
        </w:rPr>
        <w:t xml:space="preserve">kontinuirana koordinacija i prikupljanje podataka od strane članova Radne grupe za izradu, provedbu i izvješćivanje o provedbi Plana razvoja Koprivničko-križevačke županije za razdoblje 2021.-2027. (u daljnjem tekstu Radna grupa) o provedenim mjerama i izrada završne verzije o provedbi Plana razvoja </w:t>
      </w:r>
      <w:r w:rsidR="006072CB">
        <w:rPr>
          <w:rFonts w:ascii="Times New Roman" w:eastAsia="Calibri" w:hAnsi="Times New Roman" w:cs="Times New Roman"/>
          <w:iCs/>
          <w:sz w:val="24"/>
          <w:szCs w:val="24"/>
        </w:rPr>
        <w:t>Koprivničko-križevačke županije</w:t>
      </w:r>
      <w:r w:rsidRPr="006A2B0F">
        <w:rPr>
          <w:rFonts w:ascii="Times New Roman" w:eastAsia="Calibri" w:hAnsi="Times New Roman" w:cs="Times New Roman"/>
          <w:iCs/>
          <w:sz w:val="24"/>
          <w:szCs w:val="24"/>
        </w:rPr>
        <w:t xml:space="preserve"> 2021-2027. za 2022. godinu sukladno metodologiji definiranoj od strane Ministarstva regionalnoga razvoja i fondova Europske unije (u daljnjem tekstu MRRFEU) i dostava Nacrta članovima Radne grupe na očitovanje.</w:t>
      </w:r>
      <w:bookmarkEnd w:id="6"/>
      <w:r w:rsidRPr="006A2B0F">
        <w:rPr>
          <w:rFonts w:ascii="Times New Roman" w:eastAsia="Calibri" w:hAnsi="Times New Roman" w:cs="Times New Roman"/>
          <w:iCs/>
          <w:sz w:val="24"/>
          <w:szCs w:val="24"/>
        </w:rPr>
        <w:t xml:space="preserve"> Izvješće je usvojeno na 11. sjednici Županijske skupštine Koprivničko-križevačke županije 15. svibnja 2023. </w:t>
      </w:r>
    </w:p>
    <w:p w14:paraId="6DDBF178" w14:textId="77777777" w:rsidR="001F0EFF" w:rsidRPr="006A2B0F" w:rsidRDefault="001C7F5E" w:rsidP="001F0EF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>1.1.2. KOORDINACIJA PRIPREME I PRIPREMA IZVJEŠĆA O PROVEDBI PROVEDBENOG PROGRAMA KKŽ ZA RAZDOBLJE 2021. DO 2025. GODINE ZA 2022. GODINU</w:t>
      </w:r>
    </w:p>
    <w:p w14:paraId="71A594B0" w14:textId="7328589A" w:rsidR="00871F69" w:rsidRPr="006A2B0F" w:rsidRDefault="00871F69" w:rsidP="001F0EF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A2B0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Temeljne aktivnosti Razvojne agencije PORE KKŽ kao regionalnog koordinatora u pripremi Izvješća o provedbi </w:t>
      </w:r>
      <w:bookmarkStart w:id="7" w:name="_Hlk155958762"/>
      <w:r w:rsidRPr="006A2B0F">
        <w:rPr>
          <w:rFonts w:ascii="Times New Roman" w:eastAsia="Calibri" w:hAnsi="Times New Roman" w:cs="Times New Roman"/>
          <w:iCs/>
          <w:sz w:val="24"/>
          <w:szCs w:val="24"/>
        </w:rPr>
        <w:t>Provedbenog programa KKŽ za razdoblje 2021. do 2025. godine za 2022. godinu</w:t>
      </w:r>
      <w:bookmarkEnd w:id="7"/>
      <w:r w:rsidRPr="006A2B0F">
        <w:rPr>
          <w:rFonts w:ascii="Times New Roman" w:eastAsia="Calibri" w:hAnsi="Times New Roman" w:cs="Times New Roman"/>
          <w:iCs/>
          <w:sz w:val="24"/>
          <w:szCs w:val="24"/>
        </w:rPr>
        <w:t xml:space="preserve"> bile su sljedeće: </w:t>
      </w:r>
    </w:p>
    <w:p w14:paraId="7846257C" w14:textId="1908E915" w:rsidR="00871F69" w:rsidRPr="006A2B0F" w:rsidRDefault="00871F69" w:rsidP="00871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iCs/>
          <w:sz w:val="24"/>
          <w:szCs w:val="24"/>
        </w:rPr>
        <w:t xml:space="preserve">kontinuirana koordinacija i prikupljanje podataka od pročelnika upravnih odjela KKŽ i ravnatelja županijskih ustanova o provedenim mjerama i ostvarenim indikatorima. Sastavljanje opisnog dijela i Priloga  (financije i indikatori) Izvješća o provedbi Provedbenog programa KKŽ za razdoblje 2021. do 2025. godine za 2022. godinu sukladno metodologiji definiranoj od strane MRRFEU. Izvješće je dostavljeno </w:t>
      </w:r>
      <w:r w:rsidR="006072CB">
        <w:rPr>
          <w:rFonts w:ascii="Times New Roman" w:eastAsia="Calibri" w:hAnsi="Times New Roman" w:cs="Times New Roman"/>
          <w:iCs/>
          <w:sz w:val="24"/>
          <w:szCs w:val="24"/>
        </w:rPr>
        <w:t>KKŽ</w:t>
      </w:r>
      <w:r w:rsidRPr="006A2B0F">
        <w:rPr>
          <w:rFonts w:ascii="Times New Roman" w:eastAsia="Calibri" w:hAnsi="Times New Roman" w:cs="Times New Roman"/>
          <w:iCs/>
          <w:sz w:val="24"/>
          <w:szCs w:val="24"/>
        </w:rPr>
        <w:t xml:space="preserve"> te je Razvojna agencija PORA KKŽ poveznicu na isto dostavila u MRRFEU.</w:t>
      </w:r>
    </w:p>
    <w:p w14:paraId="7967D31D" w14:textId="5CEAD831" w:rsidR="00871F69" w:rsidRPr="006A2B0F" w:rsidRDefault="001C7F5E" w:rsidP="00871F69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>1.1.3.</w:t>
      </w:r>
      <w:r w:rsidR="00336FCE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 SUDJELOVANJE U PARTNERSKOM VIJEĆU ZA 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>IZRAD</w:t>
      </w:r>
      <w:r w:rsidR="00336FCE" w:rsidRPr="006A2B0F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 STRATEGIJE MANJEG URBANOG PODRUČJA  KOPRIVNICA ZA FINANCIJSKO RAZDOBLJE 2021.-2027.</w:t>
      </w:r>
    </w:p>
    <w:p w14:paraId="1F1AFDB7" w14:textId="552C6E33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Razvojna agencija PORA KKŽ </w:t>
      </w:r>
      <w:r w:rsidR="00BE1686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bila je 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aktivno uključena u proces izrade Strategije manjeg urbanog područja Koprivnica za razdoblje 2021.-2027. </w:t>
      </w:r>
      <w:r w:rsidR="00336FCE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kao član 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Partnerskog vijeća </w:t>
      </w:r>
      <w:r w:rsidR="00336FCE" w:rsidRPr="006A2B0F">
        <w:rPr>
          <w:rFonts w:ascii="Times New Roman" w:eastAsia="Calibri" w:hAnsi="Times New Roman" w:cs="Times New Roman"/>
          <w:bCs/>
          <w:sz w:val="24"/>
          <w:szCs w:val="24"/>
        </w:rPr>
        <w:t>manjeg urbanog područja Koprivnica čije su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četiri sjednice</w:t>
      </w:r>
      <w:r w:rsidR="00336FCE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održane tijekom godine.</w:t>
      </w:r>
    </w:p>
    <w:p w14:paraId="69842AD2" w14:textId="6BE83576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Razvojna agencija PORA KKŽ pružila je stručnu pomoć u pripremi opisa za 8 projektnih prijedloga za </w:t>
      </w:r>
      <w:r w:rsidR="00AF5503" w:rsidRPr="006A2B0F">
        <w:rPr>
          <w:rFonts w:ascii="Times New Roman" w:eastAsia="Calibri" w:hAnsi="Times New Roman" w:cs="Times New Roman"/>
          <w:bCs/>
          <w:sz w:val="24"/>
          <w:szCs w:val="24"/>
        </w:rPr>
        <w:t>bazu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projekata strategije manjeg urbanog područja Koprivnica za razdoblje 2021.-2027. za Općine Novigrad Podravski, Hlebine, Drnje i Rasinja.</w:t>
      </w:r>
    </w:p>
    <w:p w14:paraId="553A6CD1" w14:textId="3DDBCBCA" w:rsidR="00871F69" w:rsidRPr="006A2B0F" w:rsidRDefault="001C7F5E" w:rsidP="00871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1.1.4. </w:t>
      </w:r>
      <w:r w:rsidR="00871F69" w:rsidRPr="006A2B0F">
        <w:rPr>
          <w:rFonts w:ascii="Times New Roman" w:hAnsi="Times New Roman"/>
          <w:b/>
          <w:sz w:val="24"/>
          <w:szCs w:val="24"/>
        </w:rPr>
        <w:t xml:space="preserve">PRIPREMA I PODNOŠENJE IZVJEŠTAJA O REALIZACIJI RAZVOJNOG SPORAZUMA ZA SJEVER HRVATSKE ZA </w:t>
      </w:r>
      <w:r w:rsidR="006072CB">
        <w:rPr>
          <w:rFonts w:ascii="Times New Roman" w:hAnsi="Times New Roman"/>
          <w:b/>
          <w:sz w:val="24"/>
          <w:szCs w:val="24"/>
        </w:rPr>
        <w:t>KKŽ</w:t>
      </w:r>
    </w:p>
    <w:p w14:paraId="3D6D6C09" w14:textId="4718FBDB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B0F">
        <w:rPr>
          <w:rFonts w:ascii="Times New Roman" w:hAnsi="Times New Roman"/>
          <w:bCs/>
          <w:sz w:val="24"/>
          <w:szCs w:val="24"/>
        </w:rPr>
        <w:t xml:space="preserve">Razvojni sporazum potpisan je 27. prosinca 2021., a u njemu sudjeluju Varaždinska, Međimurska, Krapinsko-zagorska, Bjelovarsko-bilogorska i Koprivničko-križevačka županija. Ukupna alokacija za </w:t>
      </w:r>
      <w:r w:rsidR="006072CB">
        <w:rPr>
          <w:rFonts w:ascii="Times New Roman" w:hAnsi="Times New Roman"/>
          <w:bCs/>
          <w:sz w:val="24"/>
          <w:szCs w:val="24"/>
        </w:rPr>
        <w:t>KKŽ</w:t>
      </w:r>
      <w:r w:rsidRPr="006A2B0F">
        <w:rPr>
          <w:rFonts w:ascii="Times New Roman" w:hAnsi="Times New Roman"/>
          <w:bCs/>
          <w:sz w:val="24"/>
          <w:szCs w:val="24"/>
        </w:rPr>
        <w:t xml:space="preserve"> za šest projekata iznosi 409.848.032,38 </w:t>
      </w:r>
      <w:r w:rsidR="00014D1F" w:rsidRPr="006A2B0F">
        <w:rPr>
          <w:rFonts w:ascii="Times New Roman" w:hAnsi="Times New Roman"/>
          <w:bCs/>
          <w:sz w:val="24"/>
          <w:szCs w:val="24"/>
        </w:rPr>
        <w:t>eura</w:t>
      </w:r>
      <w:r w:rsidRPr="006A2B0F">
        <w:rPr>
          <w:rFonts w:ascii="Times New Roman" w:hAnsi="Times New Roman"/>
          <w:bCs/>
          <w:sz w:val="24"/>
          <w:szCs w:val="24"/>
        </w:rPr>
        <w:t xml:space="preserve">, a za projektno-tehničku dokumentaciju 1.592.673,70 </w:t>
      </w:r>
      <w:r w:rsidR="00014D1F" w:rsidRPr="006A2B0F">
        <w:rPr>
          <w:rFonts w:ascii="Times New Roman" w:hAnsi="Times New Roman"/>
          <w:bCs/>
          <w:sz w:val="24"/>
          <w:szCs w:val="24"/>
        </w:rPr>
        <w:t>eura</w:t>
      </w:r>
      <w:r w:rsidRPr="006A2B0F">
        <w:rPr>
          <w:rFonts w:ascii="Times New Roman" w:hAnsi="Times New Roman"/>
          <w:bCs/>
          <w:sz w:val="24"/>
          <w:szCs w:val="24"/>
        </w:rPr>
        <w:t>.</w:t>
      </w:r>
    </w:p>
    <w:p w14:paraId="29D67481" w14:textId="59F2094C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B0F">
        <w:rPr>
          <w:rFonts w:ascii="Times New Roman" w:hAnsi="Times New Roman"/>
          <w:bCs/>
          <w:sz w:val="24"/>
          <w:szCs w:val="24"/>
        </w:rPr>
        <w:t xml:space="preserve">Razvojna agencija PORA KKŽ </w:t>
      </w:r>
      <w:r w:rsidR="00336FCE" w:rsidRPr="006A2B0F">
        <w:rPr>
          <w:rFonts w:ascii="Times New Roman" w:hAnsi="Times New Roman"/>
          <w:bCs/>
          <w:sz w:val="24"/>
          <w:szCs w:val="24"/>
        </w:rPr>
        <w:t xml:space="preserve">kao regionalni koordinator za područje KKŽ </w:t>
      </w:r>
      <w:r w:rsidRPr="006A2B0F">
        <w:rPr>
          <w:rFonts w:ascii="Times New Roman" w:hAnsi="Times New Roman"/>
          <w:bCs/>
          <w:sz w:val="24"/>
          <w:szCs w:val="24"/>
        </w:rPr>
        <w:t xml:space="preserve">ovlaštena je za podnošenje tromjesečnih izvještaja o provedbi Razvojnog sporazuma za sjever Hrvatske za </w:t>
      </w:r>
      <w:r w:rsidR="00A677DE">
        <w:rPr>
          <w:rFonts w:ascii="Times New Roman" w:hAnsi="Times New Roman"/>
          <w:bCs/>
          <w:sz w:val="24"/>
          <w:szCs w:val="24"/>
        </w:rPr>
        <w:t>KKŽ</w:t>
      </w:r>
      <w:r w:rsidRPr="006A2B0F">
        <w:rPr>
          <w:rFonts w:ascii="Times New Roman" w:hAnsi="Times New Roman"/>
          <w:bCs/>
          <w:sz w:val="24"/>
          <w:szCs w:val="24"/>
        </w:rPr>
        <w:t xml:space="preserve">. </w:t>
      </w:r>
    </w:p>
    <w:p w14:paraId="4F3C2767" w14:textId="292398EC" w:rsidR="008B6115" w:rsidRPr="006A2B0F" w:rsidRDefault="00871F69" w:rsidP="00871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B0F">
        <w:rPr>
          <w:rFonts w:ascii="Times New Roman" w:hAnsi="Times New Roman"/>
          <w:bCs/>
          <w:sz w:val="24"/>
          <w:szCs w:val="24"/>
        </w:rPr>
        <w:t xml:space="preserve">Razvojna agencija PORA KKŽ izradila je i dostavila u MRRFEU ukupno 4 tromjesečna izvješća o provedbi Razvojnog sporazuma za sjever Hrvatske za </w:t>
      </w:r>
      <w:r w:rsidR="006072CB">
        <w:rPr>
          <w:rFonts w:ascii="Times New Roman" w:hAnsi="Times New Roman"/>
          <w:bCs/>
          <w:sz w:val="24"/>
          <w:szCs w:val="24"/>
        </w:rPr>
        <w:t>KKŽ</w:t>
      </w:r>
      <w:r w:rsidR="00336FCE" w:rsidRPr="006A2B0F">
        <w:rPr>
          <w:rFonts w:ascii="Times New Roman" w:hAnsi="Times New Roman"/>
          <w:bCs/>
          <w:sz w:val="24"/>
          <w:szCs w:val="24"/>
        </w:rPr>
        <w:t>.</w:t>
      </w:r>
    </w:p>
    <w:p w14:paraId="5BC66882" w14:textId="0BA2E364" w:rsidR="009A2482" w:rsidRPr="006A2B0F" w:rsidRDefault="001C7F5E" w:rsidP="009A248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01485E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1.1.5. </w:t>
      </w:r>
      <w:r w:rsidR="001C185D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SURADNJA I PRUŽANJE STRUČNE POMOĆI </w:t>
      </w:r>
      <w:r w:rsidR="004C54E1" w:rsidRPr="006A2B0F">
        <w:rPr>
          <w:rFonts w:ascii="Times New Roman" w:eastAsia="Calibri" w:hAnsi="Times New Roman" w:cs="Times New Roman"/>
          <w:b/>
          <w:sz w:val="24"/>
          <w:szCs w:val="24"/>
        </w:rPr>
        <w:t>JLP(R)S-ima I JAVNOPRAVNIM TIJELIMA</w:t>
      </w:r>
    </w:p>
    <w:p w14:paraId="0CF0AFE6" w14:textId="3FE2A43C" w:rsidR="0001485E" w:rsidRPr="006A2B0F" w:rsidRDefault="0001485E" w:rsidP="000148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>Tijekom godine kontinuirano su organizirani sastanci s jedinicama lokalne samouprav</w:t>
      </w:r>
      <w:r w:rsidR="0012680A" w:rsidRPr="006A2B0F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odnosno s lokalnim koordinatorima</w:t>
      </w:r>
      <w:r w:rsidR="004C54E1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="006072CB">
        <w:rPr>
          <w:rFonts w:ascii="Times New Roman" w:eastAsia="Calibri" w:hAnsi="Times New Roman" w:cs="Times New Roman"/>
          <w:bCs/>
          <w:sz w:val="24"/>
          <w:szCs w:val="24"/>
        </w:rPr>
        <w:t>KKŽ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na teme vezane uz izmjene zakonodavnog okvira na području strateškog planiranja (novi pravilnici), Provedbenih programa, otvorenih Javnih poziva za JL</w:t>
      </w:r>
      <w:r w:rsidR="004C54E1" w:rsidRPr="006A2B0F">
        <w:rPr>
          <w:rFonts w:ascii="Times New Roman" w:eastAsia="Calibri" w:hAnsi="Times New Roman" w:cs="Times New Roman"/>
          <w:bCs/>
          <w:sz w:val="24"/>
          <w:szCs w:val="24"/>
        </w:rPr>
        <w:t>P(R)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S-e</w:t>
      </w:r>
      <w:r w:rsidR="004C54E1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i javnopravna tijela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, Baze projekata</w:t>
      </w:r>
      <w:r w:rsidR="004D6F6C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Plana razvoja KKŽ za razdoblje 2021.-2027.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i Indikativnog godišnjeg plana objave natječaja za tekuću i iduću godinu te aktualnih e-savjetovanja.</w:t>
      </w:r>
    </w:p>
    <w:p w14:paraId="7FB5D5BE" w14:textId="5A48F3B4" w:rsidR="00871F69" w:rsidRPr="006A2B0F" w:rsidRDefault="001C7F5E" w:rsidP="0042348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1C185D" w:rsidRPr="006A2B0F">
        <w:rPr>
          <w:rFonts w:ascii="Times New Roman" w:eastAsia="Calibri" w:hAnsi="Times New Roman" w:cs="Times New Roman"/>
          <w:b/>
          <w:sz w:val="24"/>
          <w:szCs w:val="24"/>
        </w:rPr>
        <w:t>1.1.5.1.</w:t>
      </w:r>
      <w:r w:rsidR="003F7825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>PRUŽANJE STRUČNE POMOĆI I OBAVLJANJA POSLOVA NADZORA I KOORDINACIJE TIJEKOM IZRADE PROVEDBENIH PROGRAMA JLP(R)S-a</w:t>
      </w:r>
    </w:p>
    <w:p w14:paraId="7DD5DB1F" w14:textId="356F6621" w:rsidR="00871F69" w:rsidRPr="006A2B0F" w:rsidRDefault="00336FCE" w:rsidP="00871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Sukladno Zakonu o sustavu strateškog planiranja i upravljanja razvojem RH obveza jedinica regionalne i lokalne samouprave je 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>izra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da i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dono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šenje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provedbeni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program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kao kratkoročni</w:t>
      </w:r>
      <w:r w:rsidR="0012680A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h 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ak</w:t>
      </w:r>
      <w:r w:rsidR="0012680A" w:rsidRPr="006A2B0F">
        <w:rPr>
          <w:rFonts w:ascii="Times New Roman" w:eastAsia="Calibri" w:hAnsi="Times New Roman" w:cs="Times New Roman"/>
          <w:bCs/>
          <w:sz w:val="24"/>
          <w:szCs w:val="24"/>
        </w:rPr>
        <w:t>ata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strateškog planiranja za vrijeme trajanja mandata izvršnog tijela jedinice lokalne i područne (regionalne) samouprave. Razvojna agencija PORA KKŽ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je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71F69" w:rsidRPr="006A2B0F">
        <w:rPr>
          <w:rFonts w:ascii="Times New Roman" w:hAnsi="Times New Roman" w:cs="Times New Roman"/>
          <w:sz w:val="24"/>
          <w:szCs w:val="24"/>
        </w:rPr>
        <w:t>pruža</w:t>
      </w:r>
      <w:r w:rsidRPr="006A2B0F">
        <w:rPr>
          <w:rFonts w:ascii="Times New Roman" w:hAnsi="Times New Roman" w:cs="Times New Roman"/>
          <w:sz w:val="24"/>
          <w:szCs w:val="24"/>
        </w:rPr>
        <w:t>la</w:t>
      </w:r>
      <w:r w:rsidR="00871F69" w:rsidRPr="006A2B0F">
        <w:rPr>
          <w:rFonts w:ascii="Times New Roman" w:hAnsi="Times New Roman" w:cs="Times New Roman"/>
          <w:sz w:val="24"/>
          <w:szCs w:val="24"/>
        </w:rPr>
        <w:t xml:space="preserve"> stručnu pomoć i obavlja</w:t>
      </w:r>
      <w:r w:rsidRPr="006A2B0F">
        <w:rPr>
          <w:rFonts w:ascii="Times New Roman" w:hAnsi="Times New Roman" w:cs="Times New Roman"/>
          <w:sz w:val="24"/>
          <w:szCs w:val="24"/>
        </w:rPr>
        <w:t>la</w:t>
      </w:r>
      <w:r w:rsidR="00871F69" w:rsidRPr="006A2B0F">
        <w:rPr>
          <w:rFonts w:ascii="Times New Roman" w:hAnsi="Times New Roman" w:cs="Times New Roman"/>
          <w:sz w:val="24"/>
          <w:szCs w:val="24"/>
        </w:rPr>
        <w:t xml:space="preserve"> poslove nadzora i koordinacije tijekom izrade provedbenih programa te ažurira</w:t>
      </w:r>
      <w:r w:rsidRPr="006A2B0F">
        <w:rPr>
          <w:rFonts w:ascii="Times New Roman" w:hAnsi="Times New Roman" w:cs="Times New Roman"/>
          <w:sz w:val="24"/>
          <w:szCs w:val="24"/>
        </w:rPr>
        <w:t>la</w:t>
      </w:r>
      <w:r w:rsidR="00871F69" w:rsidRPr="006A2B0F">
        <w:rPr>
          <w:rFonts w:ascii="Times New Roman" w:hAnsi="Times New Roman" w:cs="Times New Roman"/>
          <w:sz w:val="24"/>
          <w:szCs w:val="24"/>
        </w:rPr>
        <w:t xml:space="preserve"> sadržaj provedbenih programa u svrhu prilagodbe promjenama vezanim uz novonastale okolnosti.</w:t>
      </w:r>
    </w:p>
    <w:p w14:paraId="10443345" w14:textId="77777777" w:rsidR="00871F69" w:rsidRPr="006A2B0F" w:rsidRDefault="00871F69" w:rsidP="00871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U okviru navedenog, Razvojna agencija PORA KKŽ provela je sljedeće aktivnosti:</w:t>
      </w:r>
    </w:p>
    <w:p w14:paraId="236F8D0C" w14:textId="77777777" w:rsidR="00871F69" w:rsidRPr="006A2B0F" w:rsidRDefault="00871F69" w:rsidP="00871F69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prikupljanje poveznica na kojima su općine i gradovi objavili godišnja izvješća (24 jedinice lokalne samouprave) za razdoblje 2021.-2025. za 2022. godinu (izvještajno razdoblje: 01.01.2022.-31.12.2022.) te dostavljanje istih u MRRFEU,</w:t>
      </w:r>
    </w:p>
    <w:p w14:paraId="0982DAEE" w14:textId="77777777" w:rsidR="00871F69" w:rsidRPr="006A2B0F" w:rsidRDefault="00871F69" w:rsidP="00871F69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>koordinacija provjere potrebe za izmjenama i/ili dopunama provedbenih programa jedinica lokalne i područne (regionalne) samouprave te izmjene/dopune provedbenih programa za Općine Đelekovec, Koprivnički Bregi, Hlebine, Sveti Ivan Žabno, Peteranec i Grad Koprivnicu,</w:t>
      </w:r>
    </w:p>
    <w:p w14:paraId="7C15A091" w14:textId="6FB26185" w:rsidR="00871F69" w:rsidRPr="006A2B0F" w:rsidRDefault="00871F69" w:rsidP="00871F69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prikupljanje podataka i dostavljanje u MRRFEU objedinjene tablice s očitovanjem o postupku vrednovanja za 2024. godinu za sve JLS-e kao i za </w:t>
      </w:r>
      <w:r w:rsidR="00A677DE">
        <w:rPr>
          <w:rFonts w:ascii="Times New Roman" w:eastAsia="Calibri" w:hAnsi="Times New Roman" w:cs="Times New Roman"/>
          <w:bCs/>
          <w:sz w:val="24"/>
          <w:szCs w:val="24"/>
        </w:rPr>
        <w:t>KKŽ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20D47B6D" w14:textId="4E0D7C9E" w:rsidR="00871F69" w:rsidRPr="006A2B0F" w:rsidRDefault="00871F69" w:rsidP="00871F69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>kontinuirana usmena i pismena komunikacija s lokalnim koordinatorima i prijenos svih informacija dobivenih od MRRFEU te dostava u MRRFEU svih traženih informacija i podataka od lokalnih koordinatora.</w:t>
      </w:r>
    </w:p>
    <w:p w14:paraId="128FB8FA" w14:textId="20F487D8" w:rsidR="00871F69" w:rsidRPr="006A2B0F" w:rsidRDefault="001C7F5E" w:rsidP="0042348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1C185D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1.1.5.2. 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PRUŽANJE PODRŠKE U DJELOVANJU </w:t>
      </w:r>
      <w:r w:rsidR="004C54E1" w:rsidRPr="006A2B0F">
        <w:rPr>
          <w:rFonts w:ascii="Times New Roman" w:eastAsia="Calibri" w:hAnsi="Times New Roman" w:cs="Times New Roman"/>
          <w:b/>
          <w:sz w:val="24"/>
          <w:szCs w:val="24"/>
        </w:rPr>
        <w:t>JLP(R)S-a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 VEZANO ZA REGIONALNI RAZVOJ </w:t>
      </w:r>
    </w:p>
    <w:p w14:paraId="4D1DB1B8" w14:textId="6AFD74E3" w:rsidR="0001485E" w:rsidRPr="006A2B0F" w:rsidRDefault="0001485E" w:rsidP="009A24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Tijekom godine PORA je kontinuirano surađivala s JLS-ima vezano uz ažuriranje Baze projekata Plana razvoja KKŽ za razdoblje 2021.-2027. te </w:t>
      </w:r>
      <w:r w:rsidR="001C185D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je djelovala 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kao stručna pomoć JLS-ima u osmišljavanju i kreiranju novih projekata.</w:t>
      </w:r>
    </w:p>
    <w:p w14:paraId="2EB80106" w14:textId="2CC01E71" w:rsidR="00871F69" w:rsidRPr="006A2B0F" w:rsidRDefault="0001485E" w:rsidP="0087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8" w:name="_Hlk124320588"/>
      <w:r w:rsidRPr="006A2B0F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nformirala 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je 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>i pružala</w:t>
      </w:r>
      <w:r w:rsidR="008B6115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i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 stručnu pomoć </w:t>
      </w:r>
      <w:r w:rsidR="0012680A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u pripremi projektnih prijava 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jedinicama lokalne samouprave, kao i </w:t>
      </w:r>
      <w:r w:rsidR="006072CB">
        <w:rPr>
          <w:rFonts w:ascii="Times New Roman" w:eastAsia="Calibri" w:hAnsi="Times New Roman" w:cs="Times New Roman"/>
          <w:bCs/>
          <w:sz w:val="24"/>
          <w:szCs w:val="24"/>
        </w:rPr>
        <w:t>KKŽ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. Pružena je podrška u pripremi 58 projektnih prijava u iznosu od </w:t>
      </w:r>
      <w:r w:rsidR="00871F69" w:rsidRPr="006A2B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7.025.801,22 </w:t>
      </w:r>
      <w:r w:rsidR="00DD1301" w:rsidRPr="006A2B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eura</w:t>
      </w:r>
      <w:r w:rsidR="00871F69" w:rsidRPr="006A2B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za ukupno 16 jedinica lokalne samouprave, kao i za </w:t>
      </w:r>
      <w:r w:rsidR="006072CB">
        <w:rPr>
          <w:rFonts w:ascii="Times New Roman" w:eastAsia="Calibri" w:hAnsi="Times New Roman" w:cs="Times New Roman"/>
          <w:bCs/>
          <w:sz w:val="24"/>
          <w:szCs w:val="24"/>
        </w:rPr>
        <w:t>KKŽ</w:t>
      </w:r>
      <w:r w:rsidR="00871F69" w:rsidRPr="006A2B0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E076E68" w14:textId="2A072543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Isto tako, Razvojna agencija PORA KKŽ pružila je podršku i stručnu pomoć u provedbi 6 projekata koji su sufinancirani iz nacionalnih izvora ukupne vrijednosti 514.296,30 </w:t>
      </w:r>
      <w:r w:rsidR="00DD1301" w:rsidRPr="006A2B0F">
        <w:rPr>
          <w:rFonts w:ascii="Times New Roman" w:eastAsia="Calibri" w:hAnsi="Times New Roman" w:cs="Times New Roman"/>
          <w:bCs/>
          <w:sz w:val="24"/>
          <w:szCs w:val="24"/>
        </w:rPr>
        <w:t>eura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C4C7578" w14:textId="500F0FED" w:rsidR="00871F69" w:rsidRPr="006A2B0F" w:rsidRDefault="001C7F5E" w:rsidP="00871F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>1.1.7. SUDJELOVANJE U IZRADI IZVJEŠĆA O PROVEDBI NACIONALNOG PLANA IZJEDNAČAVANJ</w:t>
      </w:r>
      <w:r w:rsidR="004C54E1" w:rsidRPr="006A2B0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 xml:space="preserve"> MOGUĆNOSTI ZA OSOBE S INVALIDITETOM ZA RAZDOBLJE OD 2021. DO 2027. GODINE I AKCIJSKOG PLANA IZJEDNAČAVANJA MOGUĆNOSTI ZA OSOBE S INVALIDITETOM ZA RAZDOBLJE OD 2021. DO 2024. GODINE</w:t>
      </w:r>
    </w:p>
    <w:p w14:paraId="4C4373F4" w14:textId="77777777" w:rsidR="00871F69" w:rsidRPr="006A2B0F" w:rsidRDefault="00871F69" w:rsidP="00871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>Razvojna agencija PORA KKŽ radila je na prikupljanju informacija za Izvješće o provedbi Nacionalnog plana izjednačavanja mogućnosti za osobe s invaliditetom za razdoblje od 2021. do 2027. godine i Akcijskog plana izjednačavanja mogućnosti za osobe s invaliditetom za razdoblje od 2021. do 2024. godine.</w:t>
      </w:r>
    </w:p>
    <w:bookmarkEnd w:id="8"/>
    <w:p w14:paraId="34885B5B" w14:textId="77777777" w:rsidR="00871F69" w:rsidRPr="006A2B0F" w:rsidRDefault="00871F69" w:rsidP="00871F69">
      <w:pPr>
        <w:spacing w:after="0"/>
        <w:rPr>
          <w:sz w:val="20"/>
          <w:szCs w:val="20"/>
        </w:rPr>
      </w:pPr>
    </w:p>
    <w:p w14:paraId="2F444172" w14:textId="35A643BD" w:rsidR="00871F69" w:rsidRPr="006A2B0F" w:rsidRDefault="001C7F5E" w:rsidP="00871F6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82430855"/>
      <w:r w:rsidRPr="006A2B0F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871F69" w:rsidRPr="006A2B0F">
        <w:rPr>
          <w:rFonts w:ascii="Times New Roman" w:hAnsi="Times New Roman" w:cs="Times New Roman"/>
          <w:b/>
          <w:bCs/>
          <w:sz w:val="24"/>
          <w:szCs w:val="24"/>
        </w:rPr>
        <w:t>1.2. POTICANJE PODUZETNIŠTVA</w:t>
      </w:r>
      <w:bookmarkEnd w:id="9"/>
    </w:p>
    <w:p w14:paraId="688F89DA" w14:textId="77777777" w:rsidR="00871F69" w:rsidRPr="006A2B0F" w:rsidRDefault="00871F69" w:rsidP="00871F69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65A86F6C" w14:textId="3632CC6C" w:rsidR="00871F69" w:rsidRPr="006A2B0F" w:rsidRDefault="001C7F5E" w:rsidP="00871F6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6472275"/>
      <w:r w:rsidRPr="006A2B0F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871F69" w:rsidRPr="006A2B0F">
        <w:rPr>
          <w:rFonts w:ascii="Times New Roman" w:hAnsi="Times New Roman" w:cs="Times New Roman"/>
          <w:b/>
          <w:bCs/>
          <w:sz w:val="24"/>
          <w:szCs w:val="24"/>
        </w:rPr>
        <w:t>1.2.1. INFORMIRANJE PODUZETNIKA</w:t>
      </w:r>
      <w:bookmarkEnd w:id="10"/>
      <w:r w:rsidR="00871F69" w:rsidRPr="006A2B0F">
        <w:rPr>
          <w:rFonts w:ascii="Times New Roman" w:hAnsi="Times New Roman" w:cs="Times New Roman"/>
          <w:b/>
          <w:bCs/>
          <w:sz w:val="24"/>
          <w:szCs w:val="24"/>
        </w:rPr>
        <w:t xml:space="preserve"> I ORGANIZACIJA SEMINARA ZA PODUZETNIKE</w:t>
      </w:r>
    </w:p>
    <w:p w14:paraId="09C76C69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U razdoblju od 1. siječnja do 31. prosinca 2023. Razvojna agencija PORA KKŽ je osobnim kontaktom ili putem telefona održala 52 informiranja za 50 poduzetnika s područja KKŽ o dostupnim bespovratnim sredstvima i kreditnim linijama.</w:t>
      </w:r>
    </w:p>
    <w:p w14:paraId="2B790AF5" w14:textId="5F179D5B" w:rsidR="00871F69" w:rsidRPr="006A2B0F" w:rsidRDefault="00871F69" w:rsidP="00871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Informiranja poduzetnika, nastavljena su i putem e-maila te su u navedenom razdoblju poslane</w:t>
      </w:r>
      <w:r w:rsidRPr="006A2B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A2B0F">
        <w:rPr>
          <w:rFonts w:ascii="Times New Roman" w:hAnsi="Times New Roman" w:cs="Times New Roman"/>
          <w:sz w:val="24"/>
          <w:szCs w:val="24"/>
        </w:rPr>
        <w:t xml:space="preserve">obavijesti za 10 aktualnih natječaja </w:t>
      </w:r>
      <w:r w:rsidR="00B52B43" w:rsidRPr="006A2B0F">
        <w:rPr>
          <w:rFonts w:ascii="Times New Roman" w:hAnsi="Times New Roman" w:cs="Times New Roman"/>
          <w:sz w:val="24"/>
          <w:szCs w:val="24"/>
        </w:rPr>
        <w:t>n</w:t>
      </w:r>
      <w:r w:rsidRPr="006A2B0F">
        <w:rPr>
          <w:rFonts w:ascii="Times New Roman" w:hAnsi="Times New Roman" w:cs="Times New Roman"/>
          <w:sz w:val="24"/>
          <w:szCs w:val="24"/>
        </w:rPr>
        <w:t xml:space="preserve">a </w:t>
      </w:r>
      <w:r w:rsidR="00B52B43" w:rsidRPr="006A2B0F">
        <w:rPr>
          <w:rFonts w:ascii="Times New Roman" w:eastAsia="Times New Roman" w:hAnsi="Times New Roman" w:cs="Times New Roman"/>
          <w:sz w:val="24"/>
          <w:szCs w:val="24"/>
        </w:rPr>
        <w:t xml:space="preserve">1557 </w:t>
      </w:r>
      <w:r w:rsidRPr="006A2B0F">
        <w:rPr>
          <w:rFonts w:ascii="Times New Roman" w:hAnsi="Times New Roman" w:cs="Times New Roman"/>
          <w:sz w:val="24"/>
          <w:szCs w:val="24"/>
        </w:rPr>
        <w:t>poduzetnik</w:t>
      </w:r>
      <w:r w:rsidR="00B52B43" w:rsidRPr="006A2B0F">
        <w:rPr>
          <w:rFonts w:ascii="Times New Roman" w:hAnsi="Times New Roman" w:cs="Times New Roman"/>
          <w:sz w:val="24"/>
          <w:szCs w:val="24"/>
        </w:rPr>
        <w:t>a.</w:t>
      </w:r>
    </w:p>
    <w:p w14:paraId="5DA62C2C" w14:textId="11511508" w:rsidR="00871F69" w:rsidRPr="006A2B0F" w:rsidRDefault="001C7F5E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</w:rPr>
        <w:t>1.2.2. SUDJELOVANJE U PROCESU INDUSTRIJSKE TRANZICIJE SJEVERNE HRVATSKE</w:t>
      </w:r>
    </w:p>
    <w:p w14:paraId="4AF985A6" w14:textId="3731B414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U okviru poticanja poduzetništva, jedna od najintenzivnijih aktivnosti tijekom 2023. godine, bila je provedba brojnih aktivnosti u okviru industrijske tranzicije </w:t>
      </w:r>
      <w:r w:rsidR="00536D16" w:rsidRPr="006A2B0F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 xml:space="preserve">jeverne Hrvatske. Razvojna agencija PORA KKŽ kao regionalni koordinator za KKŽ dio je tima koji je sudjelovao u izradi Plana za industrijsku tranziciju Sjeverne Hrvatske za razdoblje od 2021. do 2027. kojim koordinira MRRFEU, a koji je usvojen u studenome 2021. godine. Ovaj Plan predstavlja strateški okvir za definiranje aktivnosti industrijske tranzicije prioritetnih sektora na području RH, na razini NUTS 2 podjele, koje će biti financirane iz fondova EU u okviru Integriranog 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teritorijalnog programa 2021.-2027. </w:t>
      </w:r>
      <w:r w:rsidRPr="006A2B0F">
        <w:rPr>
          <w:rFonts w:ascii="Times New Roman" w:eastAsia="Calibri" w:hAnsi="Times New Roman" w:cs="Times New Roman"/>
          <w:sz w:val="24"/>
          <w:szCs w:val="24"/>
          <w:lang w:eastAsia="x-none"/>
        </w:rPr>
        <w:t>KKŽ zajedno s Krapinsko-zagorskom, Međimurskom, Varaždinskom i Zagrebačkom županijom dio je NUTS regije Sjeverna Hrvatska</w:t>
      </w:r>
      <w:r w:rsidRPr="006A2B0F">
        <w:rPr>
          <w:rFonts w:ascii="Times New Roman" w:eastAsia="Calibri" w:hAnsi="Times New Roman" w:cs="Times New Roman"/>
          <w:bCs/>
          <w:sz w:val="24"/>
          <w:szCs w:val="24"/>
        </w:rPr>
        <w:t>. Prioritetni sektori, odnosno definirani regionalni lanci vrijednosti (u daljnjem tekstu: RLV) unutar Plana za industrijsku tranziciju Sjeverne Hrvatske su: RLV pametne industrije, RLV industrije vozila, RLV zdravstvene industrije, RLV zelenog rasta i RLV uslužnog sektora visoke dodane vrijednosti.</w:t>
      </w:r>
    </w:p>
    <w:p w14:paraId="61892032" w14:textId="1C243B4E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sz w:val="24"/>
          <w:szCs w:val="24"/>
        </w:rPr>
        <w:t>Razvojna agencija PORA KKŽ je</w:t>
      </w:r>
      <w:r w:rsidRPr="006A2B0F">
        <w:rPr>
          <w:rFonts w:ascii="Times New Roman" w:hAnsi="Times New Roman" w:cs="Times New Roman"/>
          <w:sz w:val="24"/>
          <w:szCs w:val="24"/>
        </w:rPr>
        <w:t xml:space="preserve"> tijekom cijele godine aktivno radila na mapiranju regionalnih dionika kako bi iskazali interes za sudjelovanjem u RLV-ima </w:t>
      </w:r>
      <w:r w:rsidR="00536D16" w:rsidRPr="006A2B0F">
        <w:rPr>
          <w:rFonts w:ascii="Times New Roman" w:hAnsi="Times New Roman" w:cs="Times New Roman"/>
          <w:sz w:val="24"/>
          <w:szCs w:val="24"/>
        </w:rPr>
        <w:t>s</w:t>
      </w:r>
      <w:r w:rsidRPr="006A2B0F">
        <w:rPr>
          <w:rFonts w:ascii="Times New Roman" w:hAnsi="Times New Roman" w:cs="Times New Roman"/>
          <w:sz w:val="24"/>
          <w:szCs w:val="24"/>
        </w:rPr>
        <w:t xml:space="preserve">jeverne Hrvatske što je ujedno i jedan od preduvjeta za prijavu na </w:t>
      </w:r>
      <w:r w:rsidR="00536D16" w:rsidRPr="006A2B0F">
        <w:rPr>
          <w:rFonts w:ascii="Times New Roman" w:hAnsi="Times New Roman" w:cs="Times New Roman"/>
          <w:sz w:val="24"/>
          <w:szCs w:val="24"/>
        </w:rPr>
        <w:t>j</w:t>
      </w:r>
      <w:r w:rsidRPr="006A2B0F">
        <w:rPr>
          <w:rFonts w:ascii="Times New Roman" w:hAnsi="Times New Roman" w:cs="Times New Roman"/>
          <w:sz w:val="24"/>
          <w:szCs w:val="24"/>
        </w:rPr>
        <w:t xml:space="preserve">avne </w:t>
      </w:r>
      <w:r w:rsidR="00536D16" w:rsidRPr="006A2B0F">
        <w:rPr>
          <w:rFonts w:ascii="Times New Roman" w:hAnsi="Times New Roman" w:cs="Times New Roman"/>
          <w:sz w:val="24"/>
          <w:szCs w:val="24"/>
        </w:rPr>
        <w:t>p</w:t>
      </w:r>
      <w:r w:rsidRPr="006A2B0F">
        <w:rPr>
          <w:rFonts w:ascii="Times New Roman" w:hAnsi="Times New Roman" w:cs="Times New Roman"/>
          <w:sz w:val="24"/>
          <w:szCs w:val="24"/>
        </w:rPr>
        <w:t xml:space="preserve">ozive u procesu industrijske tranzicije </w:t>
      </w:r>
      <w:r w:rsidR="00536D16" w:rsidRPr="006A2B0F">
        <w:rPr>
          <w:rFonts w:ascii="Times New Roman" w:hAnsi="Times New Roman" w:cs="Times New Roman"/>
          <w:sz w:val="24"/>
          <w:szCs w:val="24"/>
        </w:rPr>
        <w:t>sjeverne Hrvatske</w:t>
      </w:r>
      <w:r w:rsidRPr="006A2B0F">
        <w:rPr>
          <w:rFonts w:ascii="Times New Roman" w:hAnsi="Times New Roman" w:cs="Times New Roman"/>
          <w:sz w:val="24"/>
          <w:szCs w:val="24"/>
        </w:rPr>
        <w:t>. Sukladno traženju MRRFEU, Razvojna agencija PORA KKŽ prikupila je od JLPRS-a s područja KKŽ obrasce s definiranim društvenim izazovima na njihovom području koje je nakon toga proslijedila MRRFEU. Rješavanje društvenih izazova bit će jedna od komponenti budućih javnih poziva koji će se raspisivati u okviru procesa industrijske tranzicije.</w:t>
      </w:r>
    </w:p>
    <w:p w14:paraId="64A517C5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Krajem prosinca 2023. godine objavljen je i Poziv na dostavu projektnih prijedloga „Jačanje strateških partnerstva za inovacije u procesu industrijske tranzicije“, a o istom su obavješteni i potencijalni korisnici s područja KKŽ.</w:t>
      </w:r>
    </w:p>
    <w:p w14:paraId="58D2644D" w14:textId="38A3E2FC" w:rsidR="00871F69" w:rsidRPr="006A2B0F" w:rsidRDefault="001C7F5E" w:rsidP="00871F6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B0F">
        <w:rPr>
          <w:rFonts w:ascii="Times New Roman" w:hAnsi="Times New Roman" w:cs="Times New Roman"/>
          <w:b/>
          <w:sz w:val="24"/>
          <w:szCs w:val="24"/>
        </w:rPr>
        <w:t>3.2.</w:t>
      </w:r>
      <w:r w:rsidR="00871F69" w:rsidRPr="006A2B0F">
        <w:rPr>
          <w:rFonts w:ascii="Times New Roman" w:hAnsi="Times New Roman" w:cs="Times New Roman"/>
          <w:b/>
          <w:sz w:val="24"/>
          <w:szCs w:val="24"/>
        </w:rPr>
        <w:t>1.2.3. JAČANJE POZITIVNE INVESTICIJSKE KLIME</w:t>
      </w:r>
    </w:p>
    <w:p w14:paraId="1A5EB198" w14:textId="70100FDA" w:rsidR="00871F69" w:rsidRPr="006A2B0F" w:rsidRDefault="001C185D" w:rsidP="00871F69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11" w:name="_Hlk91662793"/>
      <w:r w:rsidRPr="006A2B0F">
        <w:rPr>
          <w:rFonts w:ascii="Times New Roman" w:hAnsi="Times New Roman" w:cs="Times New Roman"/>
          <w:color w:val="auto"/>
        </w:rPr>
        <w:t xml:space="preserve">Sukladno Zakonu o poticanju ulaganja </w:t>
      </w:r>
      <w:r w:rsidR="00871F69" w:rsidRPr="006A2B0F">
        <w:rPr>
          <w:rFonts w:ascii="Times New Roman" w:hAnsi="Times New Roman" w:cs="Times New Roman"/>
          <w:color w:val="auto"/>
        </w:rPr>
        <w:t>Razvojna agencija PORA KKŽ</w:t>
      </w:r>
      <w:r w:rsidR="00871F69" w:rsidRPr="006A2B0F">
        <w:rPr>
          <w:rFonts w:ascii="Times New Roman" w:hAnsi="Times New Roman" w:cs="Times New Roman"/>
          <w:b/>
          <w:color w:val="auto"/>
        </w:rPr>
        <w:t xml:space="preserve"> </w:t>
      </w:r>
      <w:bookmarkEnd w:id="11"/>
      <w:r w:rsidR="00871F69" w:rsidRPr="006A2B0F">
        <w:rPr>
          <w:rFonts w:ascii="Times New Roman" w:hAnsi="Times New Roman" w:cs="Times New Roman"/>
          <w:color w:val="auto"/>
        </w:rPr>
        <w:t xml:space="preserve">kontinuirano radi na jačanju pozitivne investicijske klime i </w:t>
      </w:r>
      <w:r w:rsidRPr="006A2B0F">
        <w:rPr>
          <w:rFonts w:ascii="Times New Roman" w:hAnsi="Times New Roman" w:cs="Times New Roman"/>
          <w:color w:val="auto"/>
        </w:rPr>
        <w:t>pruža aktivnu podršku ulagačima</w:t>
      </w:r>
      <w:r w:rsidR="00871F69" w:rsidRPr="006A2B0F">
        <w:rPr>
          <w:rFonts w:ascii="Times New Roman" w:hAnsi="Times New Roman" w:cs="Times New Roman"/>
          <w:color w:val="auto"/>
        </w:rPr>
        <w:t xml:space="preserve">. </w:t>
      </w:r>
    </w:p>
    <w:p w14:paraId="3DCFE2F8" w14:textId="5D276DC9" w:rsidR="00871F69" w:rsidRPr="006A2B0F" w:rsidRDefault="00871F69" w:rsidP="00871F6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B0F">
        <w:rPr>
          <w:rFonts w:ascii="Times New Roman" w:hAnsi="Times New Roman" w:cs="Times New Roman"/>
          <w:color w:val="auto"/>
        </w:rPr>
        <w:t xml:space="preserve">Tijekom 2023. godine zaprimljen je upit 2 potencijalna investitora za kupnju zemljišta i izgradnju proizvodnih kapaciteta na području </w:t>
      </w:r>
      <w:r w:rsidR="004910DB">
        <w:rPr>
          <w:rFonts w:ascii="Times New Roman" w:hAnsi="Times New Roman" w:cs="Times New Roman"/>
          <w:color w:val="auto"/>
        </w:rPr>
        <w:t>KKŽ</w:t>
      </w:r>
      <w:r w:rsidRPr="006A2B0F">
        <w:rPr>
          <w:rFonts w:ascii="Times New Roman" w:hAnsi="Times New Roman" w:cs="Times New Roman"/>
          <w:color w:val="auto"/>
        </w:rPr>
        <w:t xml:space="preserve">. Isti su proslijeđeni JLS-ima na području KKŽ koji mogu odgovoriti na tražene zahtjeve. </w:t>
      </w:r>
    </w:p>
    <w:p w14:paraId="6B431A42" w14:textId="3A1E26CF" w:rsidR="00871F69" w:rsidRPr="006A2B0F" w:rsidRDefault="00871F69" w:rsidP="00871F6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B0F">
        <w:rPr>
          <w:rFonts w:ascii="Times New Roman" w:hAnsi="Times New Roman" w:cs="Times New Roman"/>
          <w:color w:val="auto"/>
        </w:rPr>
        <w:t xml:space="preserve">Također su na traženje Ministarstva gospodarstva i održivog razvoja dostavljene informacije o poduzetničkim zonama na području KKŽ koje se još ne nalaze u bazi zona Invest Croatia, a koje su infrastrukturno </w:t>
      </w:r>
      <w:r w:rsidR="00536D16" w:rsidRPr="006A2B0F">
        <w:rPr>
          <w:rFonts w:ascii="Times New Roman" w:hAnsi="Times New Roman" w:cs="Times New Roman"/>
          <w:color w:val="auto"/>
        </w:rPr>
        <w:t>opremljene</w:t>
      </w:r>
      <w:r w:rsidRPr="006A2B0F">
        <w:rPr>
          <w:rFonts w:ascii="Times New Roman" w:hAnsi="Times New Roman" w:cs="Times New Roman"/>
          <w:color w:val="auto"/>
        </w:rPr>
        <w:t xml:space="preserve"> za prijem investitora. </w:t>
      </w:r>
    </w:p>
    <w:p w14:paraId="085351D6" w14:textId="47B623FA" w:rsidR="00871F69" w:rsidRPr="006A2B0F" w:rsidRDefault="00871F69" w:rsidP="00871F6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B0F">
        <w:rPr>
          <w:rFonts w:ascii="Times New Roman" w:hAnsi="Times New Roman" w:cs="Times New Roman"/>
          <w:color w:val="auto"/>
        </w:rPr>
        <w:t>Razvojna agencija PORA KKŽ uključ</w:t>
      </w:r>
      <w:r w:rsidR="0012680A" w:rsidRPr="006A2B0F">
        <w:rPr>
          <w:rFonts w:ascii="Times New Roman" w:hAnsi="Times New Roman" w:cs="Times New Roman"/>
          <w:color w:val="auto"/>
        </w:rPr>
        <w:t>ena je</w:t>
      </w:r>
      <w:r w:rsidR="001C185D" w:rsidRPr="006A2B0F">
        <w:rPr>
          <w:rFonts w:ascii="Times New Roman" w:hAnsi="Times New Roman" w:cs="Times New Roman"/>
          <w:color w:val="auto"/>
        </w:rPr>
        <w:t xml:space="preserve"> i</w:t>
      </w:r>
      <w:r w:rsidRPr="006A2B0F">
        <w:rPr>
          <w:rFonts w:ascii="Times New Roman" w:hAnsi="Times New Roman" w:cs="Times New Roman"/>
          <w:color w:val="auto"/>
        </w:rPr>
        <w:t xml:space="preserve"> u stručnu Radnu skupinu Ministarstva gospodarstva i održivog razvoja za izradu nacrta Nacionalnog plana za poticanje ulaganja za razdoblje 2024. do 2030. godine i Akcijskog plana za provedbu Nacionalnog plana za poticanje ulaganja za razdoblje od 2024. do 2026. godine.</w:t>
      </w:r>
    </w:p>
    <w:p w14:paraId="1C440F35" w14:textId="2DDBA665" w:rsidR="00871F69" w:rsidRPr="006A2B0F" w:rsidRDefault="009965F7" w:rsidP="00871F6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1.2.4. POTICANJE RAZVOJA PODUZETNIŠTVA U OKVIRU PROVEDBE EU PROJEKATA</w:t>
      </w:r>
    </w:p>
    <w:p w14:paraId="23A5B10E" w14:textId="700EAF7B" w:rsidR="00871F69" w:rsidRPr="006A2B0F" w:rsidRDefault="009965F7" w:rsidP="004234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1.2.4.1. PROJEKT „B LIGHT“</w:t>
      </w:r>
    </w:p>
    <w:p w14:paraId="2686348A" w14:textId="1D6066EE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 danom 30. travnja 2023., pripremom finalnog izvješća za nadoknadom sredstava službeno je završena provedba projekta</w:t>
      </w:r>
      <w:r w:rsidRPr="006A2B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Beneficiary Light Grant Shema</w:t>
      </w:r>
      <w:r w:rsidRPr="006A2B0F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kroz koji se financirala suradnja malih i srednjih poduzeća na pograničnom području Mađarska-Hrvatska u okviru Interreg V-A Programa suradnje Mađarska-Hrvatska 2014-2020. Sveukupna</w:t>
      </w:r>
      <w:r w:rsidRPr="006A2B0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vrijednost projekta koji se provodio još od 2017. godine iznosila je 12,5 milijuna </w:t>
      </w:r>
      <w:r w:rsidR="00DD1301" w:rsidRPr="006A2B0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eura</w:t>
      </w:r>
      <w:r w:rsidRPr="006A2B0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59A4C6E" w14:textId="70E99933" w:rsidR="00871F69" w:rsidRPr="006A2B0F" w:rsidRDefault="009965F7" w:rsidP="00423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1.2.4.2. PROJEKT „TOURBO“ </w:t>
      </w:r>
    </w:p>
    <w:p w14:paraId="0B72D794" w14:textId="6CE2C6E5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Projekt „TOURBO - Poticanje tranzicije mikro, malih i srednjih poduzetnika u turizmu zelenom i digitalnom transformacijom“ odobren je u prosincu 2022. u okviru Interreg Europe programa međuregionalne suradnje 2021.-2027, a s provedbom je započeo 1. ožujka 2023. </w:t>
      </w:r>
    </w:p>
    <w:p w14:paraId="4FC50468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Vodeći partner u projektu je Komora za trgovinu, industriju i plovidbu iz Seville (Španjolska), a uz Razvojnu agenciju PORU KKŽ kao jedinog hrvatskog partnera u projektu sudjeluje još 6 projektnih partnera: </w:t>
      </w:r>
      <w:r w:rsidRPr="006A2B0F">
        <w:rPr>
          <w:rStyle w:val="q4iawc"/>
          <w:rFonts w:ascii="Times New Roman" w:hAnsi="Times New Roman" w:cs="Times New Roman"/>
          <w:sz w:val="24"/>
          <w:szCs w:val="24"/>
        </w:rPr>
        <w:t>Laponsko sveučilište primijenjenih znanosti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 (Finska), Gospodarska i industrijska komora - Vratsa (Bugarska), </w:t>
      </w:r>
      <w:r w:rsidRPr="006A2B0F">
        <w:rPr>
          <w:rStyle w:val="q4iawc"/>
          <w:rFonts w:ascii="Times New Roman" w:hAnsi="Times New Roman" w:cs="Times New Roman"/>
          <w:sz w:val="24"/>
          <w:szCs w:val="24"/>
        </w:rPr>
        <w:t>Regija Marche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 (Italija), </w:t>
      </w:r>
      <w:r w:rsidRPr="006A2B0F">
        <w:rPr>
          <w:rStyle w:val="q4iawc"/>
          <w:rFonts w:ascii="Times New Roman" w:hAnsi="Times New Roman" w:cs="Times New Roman"/>
          <w:sz w:val="24"/>
          <w:szCs w:val="24"/>
        </w:rPr>
        <w:t>Sjevernoegejska regija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 (Grčka), </w:t>
      </w:r>
      <w:r w:rsidRPr="006A2B0F">
        <w:rPr>
          <w:rStyle w:val="q4iawc"/>
          <w:rFonts w:ascii="Times New Roman" w:hAnsi="Times New Roman" w:cs="Times New Roman"/>
          <w:sz w:val="24"/>
          <w:szCs w:val="24"/>
        </w:rPr>
        <w:t>Doživite Bremerhaven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 - t</w:t>
      </w:r>
      <w:r w:rsidRPr="006A2B0F">
        <w:rPr>
          <w:rStyle w:val="q4iawc"/>
          <w:rFonts w:ascii="Times New Roman" w:hAnsi="Times New Roman" w:cs="Times New Roman"/>
          <w:sz w:val="24"/>
          <w:szCs w:val="24"/>
        </w:rPr>
        <w:t>vrtka za turistički marketing i događanja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 (Njemačka) i </w:t>
      </w:r>
      <w:r w:rsidRPr="006A2B0F">
        <w:rPr>
          <w:rStyle w:val="q4iawc"/>
          <w:rFonts w:ascii="Times New Roman" w:hAnsi="Times New Roman" w:cs="Times New Roman"/>
          <w:sz w:val="24"/>
          <w:szCs w:val="24"/>
        </w:rPr>
        <w:t>Vijeće okruga Donegal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 (Irska).</w:t>
      </w:r>
    </w:p>
    <w:p w14:paraId="5446FA19" w14:textId="52F52A30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Osnovni cilj projekta je identificirati i razmijeniti primjere dobre prakse projektnih partnera s naglaskom na digitalnu i zelenu tranziciju mikro, malih i srednjih poduzetnika u turizmu, čime </w:t>
      </w:r>
      <w:r w:rsidRPr="006A2B0F">
        <w:rPr>
          <w:rFonts w:ascii="Times New Roman" w:eastAsia="Calibri" w:hAnsi="Times New Roman" w:cs="Times New Roman"/>
          <w:sz w:val="24"/>
          <w:szCs w:val="24"/>
        </w:rPr>
        <w:lastRenderedPageBreak/>
        <w:t>se nastoji pridonijeti digitalizaciji i personalizaciji turističke ponude, međusobnom umrežavanju glavnih dionika u turizmu te razvoju novih turističkih proizvoda i usluga visoke dodane vrijednosti, ali i brendiranju i jačanju prepoznatljivosti regionalnog gospodarstva.</w:t>
      </w:r>
    </w:p>
    <w:p w14:paraId="41F575A3" w14:textId="05C9A12D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Ukupna vrijednost projekta je 1,9 mil. </w:t>
      </w:r>
      <w:r w:rsidR="00A60EBE" w:rsidRPr="006A2B0F">
        <w:rPr>
          <w:rFonts w:ascii="Times New Roman" w:eastAsia="Calibri" w:hAnsi="Times New Roman" w:cs="Times New Roman"/>
          <w:sz w:val="24"/>
          <w:szCs w:val="24"/>
        </w:rPr>
        <w:t>eura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 od čega udio Razvojne agencije PORE KKŽ iznosi 186.000,00 </w:t>
      </w:r>
      <w:r w:rsidR="00A60EBE" w:rsidRPr="006A2B0F">
        <w:rPr>
          <w:rFonts w:ascii="Times New Roman" w:eastAsia="Calibri" w:hAnsi="Times New Roman" w:cs="Times New Roman"/>
          <w:sz w:val="24"/>
          <w:szCs w:val="24"/>
        </w:rPr>
        <w:t>eura</w:t>
      </w:r>
      <w:r w:rsidRPr="006A2B0F">
        <w:rPr>
          <w:rFonts w:ascii="Times New Roman" w:eastAsia="Calibri" w:hAnsi="Times New Roman" w:cs="Times New Roman"/>
          <w:sz w:val="24"/>
          <w:szCs w:val="24"/>
        </w:rPr>
        <w:t>, dok je trajanje projekta 48 mjeseci.</w:t>
      </w:r>
    </w:p>
    <w:p w14:paraId="00AEBEEB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U okviru provedbe projektnih aktivnosti Razvojna agencija PORA KKŽ sudjelovala je na 7 online sastanaka projektnih partnera i održala 2 sastanka lokalnih dionika, sudjelovala je na kick-off sastanku i početnoj konferenciji projekta u Sevilli, izradila je analizu regionalnog ekosustava turističkog sektora na području KKŽ te je organizirala 1. Međuregionalni događaj s primjerima dobre prakse na području KKŽ na temu: „Integracija quadruple helix modela (suradnje javnog, privatnog, znanstvenog-istraživačkog i civilnog sektora) u poticanju inovacija i konkurentnosti poduzetnika u sektoru turizma s naglaskom na digitalnu i zelenu tranziciju”. U izradi je i primjer dobre prakse s područja KKŽ na temu tranzicije mikro, malih i srednjih poduzetnika u turizmu zelenom i digitalnom transformacijom koji će biti kreiran i unesen na Interreg Europe platformu. </w:t>
      </w:r>
    </w:p>
    <w:p w14:paraId="63A57F34" w14:textId="2A951B81" w:rsidR="00871F69" w:rsidRPr="006A2B0F" w:rsidRDefault="009965F7" w:rsidP="004234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A2B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3.2.</w:t>
      </w:r>
      <w:r w:rsidR="00871F69" w:rsidRPr="006A2B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1.2.4.3. SUDJELOVANJE U PRIPREMI ISKAZA INTERESA ZA REGIONALNE INOVACIJSKE DOLINE (RIV)</w:t>
      </w:r>
    </w:p>
    <w:p w14:paraId="5F0DE699" w14:textId="2B78870F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Razvojna agencija PORA KKŽ u suradnji s KKŽ sudjelovala je u pripremi iskaza interesa za mogućnost stjecanja oznake „Regionalne inovacijske doline“ za KKŽ kao prijavitelja. Poziv za iskaz interesa </w:t>
      </w:r>
      <w:r w:rsidRPr="006A2B0F">
        <w:rPr>
          <w:rFonts w:ascii="Times New Roman" w:hAnsi="Times New Roman" w:cs="Times New Roman"/>
          <w:sz w:val="24"/>
          <w:szCs w:val="24"/>
        </w:rPr>
        <w:t xml:space="preserve">objavila je Europska komisija s ciljem identificiranja do 100 regija koje će se obvezati poboljšati koordinaciju i usmjerenost svojih ulaganja i politika u istraživanje i inovacije na regionalnoj razini. </w:t>
      </w:r>
      <w:r w:rsidR="00536D16" w:rsidRPr="006A2B0F">
        <w:rPr>
          <w:rFonts w:ascii="Times New Roman" w:hAnsi="Times New Roman" w:cs="Times New Roman"/>
          <w:sz w:val="24"/>
          <w:szCs w:val="24"/>
        </w:rPr>
        <w:t xml:space="preserve">Stjecanje ove oznake intenzivirat će se aktivnosti kojima se </w:t>
      </w:r>
      <w:r w:rsidRPr="006A2B0F">
        <w:rPr>
          <w:rFonts w:ascii="Times New Roman" w:hAnsi="Times New Roman" w:cs="Times New Roman"/>
          <w:sz w:val="24"/>
          <w:szCs w:val="24"/>
        </w:rPr>
        <w:t>želi</w:t>
      </w:r>
      <w:r w:rsidR="00536D16" w:rsidRPr="006A2B0F">
        <w:rPr>
          <w:rFonts w:ascii="Times New Roman" w:hAnsi="Times New Roman" w:cs="Times New Roman"/>
          <w:sz w:val="24"/>
          <w:szCs w:val="24"/>
        </w:rPr>
        <w:t xml:space="preserve"> </w:t>
      </w:r>
      <w:r w:rsidRPr="006A2B0F">
        <w:rPr>
          <w:rFonts w:ascii="Times New Roman" w:hAnsi="Times New Roman" w:cs="Times New Roman"/>
          <w:sz w:val="24"/>
          <w:szCs w:val="24"/>
        </w:rPr>
        <w:t>pridonijeti rješavanju lokalnih i globalnih izazova kružnog gospodarstva, automatizacije u proizvodnji vozila i poslovnih procesa te elektronike</w:t>
      </w:r>
      <w:r w:rsidR="00536D16" w:rsidRPr="006A2B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2D8A7" w14:textId="5E356113" w:rsidR="00871F69" w:rsidRPr="006A2B0F" w:rsidRDefault="009965F7" w:rsidP="00871F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871F69" w:rsidRPr="006A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1.2.5</w:t>
      </w:r>
      <w:r w:rsidR="003F7825" w:rsidRPr="006A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71F69" w:rsidRPr="006A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SURADNJA </w:t>
      </w:r>
      <w:r w:rsidR="00871F69" w:rsidRPr="006A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RAZVOJNE AGENCIJE PORE KKŽ</w:t>
      </w:r>
      <w:r w:rsidR="00871F69" w:rsidRPr="006A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1F69" w:rsidRPr="006A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 LAG-OVA S PODRUČJA KKŽ</w:t>
      </w:r>
    </w:p>
    <w:p w14:paraId="276E4DCB" w14:textId="0FCDAA72" w:rsidR="00871F69" w:rsidRPr="006A2B0F" w:rsidRDefault="00E13B02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Predstavnici </w:t>
      </w:r>
      <w:r w:rsidR="00871F69"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Razvojne agencije PORE KKŽ, ED KKŽ te LAG-ova s područja KKŽ: „IZVOR“, „PRIZAG“ i „PRIGORJE“ </w:t>
      </w:r>
      <w:r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>sudjelovali su n</w:t>
      </w:r>
      <w:r w:rsidR="00871F69"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studijskom putovanju </w:t>
      </w:r>
      <w:r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zajedno s </w:t>
      </w:r>
      <w:r w:rsidR="00871F69"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>predstavnici</w:t>
      </w:r>
      <w:r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871F69"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 Slavonski Brod i LAG-ovi</w:t>
      </w:r>
      <w:r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871F69" w:rsidRPr="006A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područja Brodsko-posavske županije: „SLAVONSKA RAVNICA“, „POSAVINA“ i „ZAPADNA SLAVONIJA“. Domaćini ovog studijskog posjeta bili su predstavnici ED Dubrovačko-neretvanske županije i Regionalne razvojne agencije Dubrovačko-neretvanske županije DUNEA. Svrha studijskog putovanja bila je razmjena iskustava između predstavnika LAG-ova na temu objavljenih natječaja i realiziranih projekata iz Programa ruralnog razvoja 2014.-2020., zatim predstavljanje primjera dobre prakse u Dubrovačko-neretvanskoj županiji na temu održivog turizma u ruralnim područjima financiranih EU sredstvima te zajedničke mogućnosti suradnje u okviru Zajedničke poljoprivredne politike 2023.-2027.</w:t>
      </w:r>
    </w:p>
    <w:p w14:paraId="3C78DE94" w14:textId="19BCA743" w:rsidR="00871F69" w:rsidRPr="006A2B0F" w:rsidRDefault="009965F7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B0F">
        <w:rPr>
          <w:rFonts w:ascii="Times New Roman" w:hAnsi="Times New Roman" w:cs="Times New Roman"/>
          <w:b/>
          <w:sz w:val="24"/>
          <w:szCs w:val="24"/>
        </w:rPr>
        <w:t>3.2.</w:t>
      </w:r>
      <w:r w:rsidR="00871F69" w:rsidRPr="006A2B0F">
        <w:rPr>
          <w:rFonts w:ascii="Times New Roman" w:hAnsi="Times New Roman" w:cs="Times New Roman"/>
          <w:b/>
          <w:sz w:val="24"/>
          <w:szCs w:val="24"/>
        </w:rPr>
        <w:t xml:space="preserve">1.2.6. AKTIVNOSTI PROMIDŽBE </w:t>
      </w:r>
      <w:r w:rsidR="004910DB">
        <w:rPr>
          <w:rFonts w:ascii="Times New Roman" w:hAnsi="Times New Roman" w:cs="Times New Roman"/>
          <w:b/>
          <w:sz w:val="24"/>
          <w:szCs w:val="24"/>
        </w:rPr>
        <w:t>KKŽ</w:t>
      </w:r>
    </w:p>
    <w:p w14:paraId="03FFB926" w14:textId="6560B730" w:rsidR="00871F69" w:rsidRDefault="00871F69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Razvojna agencija PORA KKŽ je u suradnji s KKŽ, HOK Obrtničkom komorom KKŽ, HGK Županijskom komorom Koprivnica u razdoblju od 10. do 12. studenoga  2023. godine bila suorganizator i sudjelovala na 25. Obrtničkom i gospodarskom sajmu u Križevcima.</w:t>
      </w:r>
    </w:p>
    <w:p w14:paraId="60B51F70" w14:textId="77777777" w:rsidR="00A902B7" w:rsidRDefault="00A902B7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986DC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236B6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2BFA4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28390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88ECD1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DF412E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B211F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CBBABB" w14:textId="77777777" w:rsidR="00423482" w:rsidRDefault="00423482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5E178" w14:textId="1461EDA7" w:rsidR="00A902B7" w:rsidRPr="00D03252" w:rsidRDefault="00A902B7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lastRenderedPageBreak/>
        <w:t>Tablica 14. Pokazatelji uspješnosti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418"/>
        <w:gridCol w:w="1554"/>
      </w:tblGrid>
      <w:tr w:rsidR="00871F69" w:rsidRPr="006A2B0F" w14:paraId="2CA5234D" w14:textId="77777777" w:rsidTr="00DF14C6">
        <w:trPr>
          <w:trHeight w:val="896"/>
          <w:jc w:val="center"/>
        </w:trPr>
        <w:tc>
          <w:tcPr>
            <w:tcW w:w="4253" w:type="dxa"/>
            <w:shd w:val="clear" w:color="auto" w:fill="BFBFBF"/>
            <w:vAlign w:val="center"/>
          </w:tcPr>
          <w:p w14:paraId="0075F6DC" w14:textId="77777777" w:rsidR="00871F69" w:rsidRPr="006A2B0F" w:rsidRDefault="00871F69" w:rsidP="00842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Pokazatelji uspješnosti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88BF61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 mjere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C6BC118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Polazna vrijednost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CDB8FA3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Ciljana vrijednost</w:t>
            </w:r>
          </w:p>
          <w:p w14:paraId="5E22127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5C2C410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Realizirano</w:t>
            </w:r>
          </w:p>
          <w:p w14:paraId="28C8119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01.01.-30.12.</w:t>
            </w:r>
          </w:p>
          <w:p w14:paraId="1E57E2D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</w:t>
            </w:r>
          </w:p>
        </w:tc>
      </w:tr>
      <w:tr w:rsidR="00DF14C6" w:rsidRPr="006A2B0F" w14:paraId="6283F8FF" w14:textId="77777777" w:rsidTr="00842341">
        <w:trPr>
          <w:jc w:val="center"/>
        </w:trPr>
        <w:tc>
          <w:tcPr>
            <w:tcW w:w="4253" w:type="dxa"/>
            <w:vAlign w:val="center"/>
          </w:tcPr>
          <w:p w14:paraId="209DDC49" w14:textId="679A07BB" w:rsidR="00DF14C6" w:rsidRPr="006A2B0F" w:rsidRDefault="00DF14C6" w:rsidP="00DF1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Izrađene sektorske strategije i ažurirani kratkoročni strateški dokumenti</w:t>
            </w:r>
          </w:p>
        </w:tc>
        <w:tc>
          <w:tcPr>
            <w:tcW w:w="1276" w:type="dxa"/>
            <w:vAlign w:val="center"/>
          </w:tcPr>
          <w:p w14:paraId="631891A4" w14:textId="1B278CDE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5" w:type="dxa"/>
            <w:vAlign w:val="center"/>
          </w:tcPr>
          <w:p w14:paraId="40983877" w14:textId="5753E4C2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ABAF8AF" w14:textId="487BC496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vAlign w:val="center"/>
          </w:tcPr>
          <w:p w14:paraId="61E3280A" w14:textId="4F318DBA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F14C6" w:rsidRPr="006A2B0F" w14:paraId="3DECDEF2" w14:textId="77777777" w:rsidTr="00842341">
        <w:trPr>
          <w:jc w:val="center"/>
        </w:trPr>
        <w:tc>
          <w:tcPr>
            <w:tcW w:w="4253" w:type="dxa"/>
            <w:vAlign w:val="center"/>
          </w:tcPr>
          <w:p w14:paraId="7C835DC3" w14:textId="3B16ED3D" w:rsidR="00DF14C6" w:rsidRPr="006A2B0F" w:rsidRDefault="00DF14C6" w:rsidP="00DF1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Izrađena nova izvješća o provedbi strateških dokumenata</w:t>
            </w:r>
          </w:p>
        </w:tc>
        <w:tc>
          <w:tcPr>
            <w:tcW w:w="1276" w:type="dxa"/>
            <w:vAlign w:val="center"/>
          </w:tcPr>
          <w:p w14:paraId="56B10B8F" w14:textId="799820BD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5" w:type="dxa"/>
            <w:vAlign w:val="center"/>
          </w:tcPr>
          <w:p w14:paraId="61154164" w14:textId="5C2CDBDC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77A8E5F" w14:textId="3FFB61A9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03B47B5A" w14:textId="29DE68F6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14C6" w:rsidRPr="006A2B0F" w14:paraId="36A51770" w14:textId="77777777" w:rsidTr="00842341">
        <w:trPr>
          <w:jc w:val="center"/>
        </w:trPr>
        <w:tc>
          <w:tcPr>
            <w:tcW w:w="4253" w:type="dxa"/>
            <w:vAlign w:val="center"/>
          </w:tcPr>
          <w:p w14:paraId="5E0107A0" w14:textId="546D73AB" w:rsidR="00DF14C6" w:rsidRPr="006A2B0F" w:rsidRDefault="00DF14C6" w:rsidP="00DF1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Broj prikupljenih projekata u Bazi projekata Plana razvoja Koprivničko-križevačke županije za razdoblje 2021.-2027.</w:t>
            </w:r>
          </w:p>
        </w:tc>
        <w:tc>
          <w:tcPr>
            <w:tcW w:w="1276" w:type="dxa"/>
            <w:vAlign w:val="center"/>
          </w:tcPr>
          <w:p w14:paraId="688E6A5A" w14:textId="05FB39D9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5" w:type="dxa"/>
            <w:vAlign w:val="center"/>
          </w:tcPr>
          <w:p w14:paraId="3A92E7BF" w14:textId="11E6DB54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497</w:t>
            </w:r>
          </w:p>
        </w:tc>
        <w:tc>
          <w:tcPr>
            <w:tcW w:w="1418" w:type="dxa"/>
            <w:vAlign w:val="center"/>
          </w:tcPr>
          <w:p w14:paraId="30D15731" w14:textId="6078E068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1554" w:type="dxa"/>
            <w:vAlign w:val="center"/>
          </w:tcPr>
          <w:p w14:paraId="6A0AAD3E" w14:textId="1845ED25" w:rsidR="00DF14C6" w:rsidRPr="006A2B0F" w:rsidRDefault="00DF14C6" w:rsidP="00DF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668</w:t>
            </w:r>
          </w:p>
        </w:tc>
      </w:tr>
      <w:tr w:rsidR="00871F69" w:rsidRPr="006A2B0F" w14:paraId="44B30DBA" w14:textId="77777777" w:rsidTr="00842341">
        <w:trPr>
          <w:jc w:val="center"/>
        </w:trPr>
        <w:tc>
          <w:tcPr>
            <w:tcW w:w="4253" w:type="dxa"/>
            <w:vAlign w:val="center"/>
          </w:tcPr>
          <w:p w14:paraId="69DBA9DB" w14:textId="77777777" w:rsidR="00871F69" w:rsidRPr="006A2B0F" w:rsidRDefault="00871F69" w:rsidP="0084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 xml:space="preserve">Broj provedenih projekata i aktivnosti ključnih za poticanje razvoja gospodarstva i poduzetništva </w:t>
            </w:r>
          </w:p>
        </w:tc>
        <w:tc>
          <w:tcPr>
            <w:tcW w:w="1276" w:type="dxa"/>
            <w:vAlign w:val="center"/>
          </w:tcPr>
          <w:p w14:paraId="2B1019B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5" w:type="dxa"/>
            <w:vAlign w:val="center"/>
          </w:tcPr>
          <w:p w14:paraId="23B65AB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14:paraId="25C2056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54" w:type="dxa"/>
            <w:vAlign w:val="center"/>
          </w:tcPr>
          <w:p w14:paraId="1F5616BD" w14:textId="7F49E563" w:rsidR="00871F69" w:rsidRPr="006A2B0F" w:rsidRDefault="004A32B3" w:rsidP="004A3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871F69" w:rsidRPr="006A2B0F" w14:paraId="6939F395" w14:textId="77777777" w:rsidTr="00842341">
        <w:trPr>
          <w:jc w:val="center"/>
        </w:trPr>
        <w:tc>
          <w:tcPr>
            <w:tcW w:w="4253" w:type="dxa"/>
            <w:vAlign w:val="center"/>
          </w:tcPr>
          <w:p w14:paraId="242273D6" w14:textId="77777777" w:rsidR="00871F69" w:rsidRPr="006A2B0F" w:rsidRDefault="00871F69" w:rsidP="00842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Suorganizirani sajmovi i manifestacije</w:t>
            </w:r>
          </w:p>
        </w:tc>
        <w:tc>
          <w:tcPr>
            <w:tcW w:w="1276" w:type="dxa"/>
            <w:vAlign w:val="center"/>
          </w:tcPr>
          <w:p w14:paraId="58C2955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5" w:type="dxa"/>
            <w:vAlign w:val="center"/>
          </w:tcPr>
          <w:p w14:paraId="3BE8C23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707380" w14:textId="4F862BDF" w:rsidR="00871F69" w:rsidRPr="006A2B0F" w:rsidRDefault="008B6115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540BF16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1F69" w:rsidRPr="006A2B0F" w14:paraId="60B63111" w14:textId="77777777" w:rsidTr="00842341">
        <w:trPr>
          <w:jc w:val="center"/>
        </w:trPr>
        <w:tc>
          <w:tcPr>
            <w:tcW w:w="4253" w:type="dxa"/>
            <w:vAlign w:val="center"/>
          </w:tcPr>
          <w:p w14:paraId="6F42872C" w14:textId="77777777" w:rsidR="00871F69" w:rsidRPr="006A2B0F" w:rsidRDefault="00871F69" w:rsidP="00842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Sastanci stručnog tijela i koordinacije za malo i srednje poduzetništvo, LAG-ova te ključnih dionika za gospodarski razvoj</w:t>
            </w:r>
          </w:p>
        </w:tc>
        <w:tc>
          <w:tcPr>
            <w:tcW w:w="1276" w:type="dxa"/>
            <w:vAlign w:val="center"/>
          </w:tcPr>
          <w:p w14:paraId="6648A05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5" w:type="dxa"/>
            <w:vAlign w:val="center"/>
          </w:tcPr>
          <w:p w14:paraId="0B3BFF1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7B6459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46986DB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14:paraId="4885315E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702756B" w14:textId="2393E2D9" w:rsidR="00871F69" w:rsidRPr="006A2B0F" w:rsidRDefault="009965F7" w:rsidP="00871F69">
      <w:pPr>
        <w:pStyle w:val="Heading2"/>
        <w:rPr>
          <w:rFonts w:ascii="Times New Roman" w:hAnsi="Times New Roman" w:cs="Times New Roman"/>
          <w:b/>
          <w:bCs/>
          <w:color w:val="auto"/>
        </w:rPr>
      </w:pPr>
      <w:bookmarkStart w:id="12" w:name="_Toc107984269"/>
      <w:bookmarkStart w:id="13" w:name="_Toc82430859"/>
      <w:bookmarkStart w:id="14" w:name="_Toc107984270"/>
      <w:r w:rsidRPr="006A2B0F">
        <w:rPr>
          <w:rFonts w:ascii="Times New Roman" w:hAnsi="Times New Roman" w:cs="Times New Roman"/>
          <w:b/>
          <w:bCs/>
          <w:color w:val="auto"/>
        </w:rPr>
        <w:t>3.2.</w:t>
      </w:r>
      <w:r w:rsidR="00871F69" w:rsidRPr="006A2B0F">
        <w:rPr>
          <w:rFonts w:ascii="Times New Roman" w:hAnsi="Times New Roman" w:cs="Times New Roman"/>
          <w:b/>
          <w:bCs/>
          <w:color w:val="auto"/>
        </w:rPr>
        <w:t xml:space="preserve">2. </w:t>
      </w:r>
      <w:bookmarkEnd w:id="12"/>
      <w:r w:rsidR="00871F69" w:rsidRPr="006A2B0F">
        <w:rPr>
          <w:rFonts w:ascii="Times New Roman" w:hAnsi="Times New Roman" w:cs="Times New Roman"/>
          <w:b/>
          <w:bCs/>
          <w:color w:val="auto"/>
        </w:rPr>
        <w:t>AKTIVNOST A100153 EU PROJEKTI</w:t>
      </w:r>
    </w:p>
    <w:p w14:paraId="445F7638" w14:textId="77777777" w:rsidR="00871F69" w:rsidRPr="006A2B0F" w:rsidRDefault="00871F69" w:rsidP="00871F69">
      <w:pPr>
        <w:pStyle w:val="Heading3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D470ED9" w14:textId="040CE420" w:rsidR="00871F69" w:rsidRDefault="009965F7" w:rsidP="00871F69">
      <w:pPr>
        <w:pStyle w:val="Heading3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6A2B0F">
        <w:rPr>
          <w:rFonts w:ascii="Times New Roman" w:eastAsia="Calibri" w:hAnsi="Times New Roman" w:cs="Times New Roman"/>
          <w:b/>
          <w:bCs/>
          <w:color w:val="auto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2.1. </w:t>
      </w:r>
      <w:bookmarkStart w:id="15" w:name="_Hlk92965501"/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POPIS PROJEKATA SUFINANCIRANIH IZ EU FONDOVA U KOJIMA JE RAZVOJNA AGENCIJA PORA KKŽ PRUŽALA STRUČNU POMOĆ 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  <w:u w:val="single"/>
        </w:rPr>
        <w:t>U PRIPREMI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 ZA JAVNOPRAVNA TIJELA S PODRUČJA KKŽ</w:t>
      </w:r>
      <w:bookmarkEnd w:id="13"/>
      <w:bookmarkEnd w:id="14"/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bookmarkEnd w:id="15"/>
    </w:p>
    <w:p w14:paraId="1C9E2BAB" w14:textId="77777777" w:rsidR="00E4074E" w:rsidRDefault="00E4074E" w:rsidP="003F782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115FC4" w14:textId="64A15747" w:rsidR="00871F69" w:rsidRPr="00D03252" w:rsidRDefault="00A902B7" w:rsidP="003F782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 xml:space="preserve">Tablica 15. Popis projekata </w:t>
      </w:r>
    </w:p>
    <w:tbl>
      <w:tblPr>
        <w:tblpPr w:leftFromText="180" w:rightFromText="180" w:vertAnchor="text" w:tblpXSpec="center" w:tblpY="1"/>
        <w:tblOverlap w:val="never"/>
        <w:tblW w:w="9629" w:type="dxa"/>
        <w:tblLayout w:type="fixed"/>
        <w:tblLook w:val="04A0" w:firstRow="1" w:lastRow="0" w:firstColumn="1" w:lastColumn="0" w:noHBand="0" w:noVBand="1"/>
      </w:tblPr>
      <w:tblGrid>
        <w:gridCol w:w="719"/>
        <w:gridCol w:w="3949"/>
        <w:gridCol w:w="992"/>
        <w:gridCol w:w="1701"/>
        <w:gridCol w:w="2268"/>
      </w:tblGrid>
      <w:tr w:rsidR="00871F69" w:rsidRPr="006A2B0F" w14:paraId="2011C207" w14:textId="77777777" w:rsidTr="00842341">
        <w:trPr>
          <w:trHeight w:val="589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793C03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42BC6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D437A64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0BB0B2B" w14:textId="6DA8CCCE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UKUPAN IZNOS U EUR</w:t>
            </w:r>
            <w:r w:rsidR="00DD1301"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2A85D57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NOSITELJ PROJEKTA</w:t>
            </w:r>
          </w:p>
        </w:tc>
      </w:tr>
      <w:tr w:rsidR="00871F69" w:rsidRPr="006A2B0F" w14:paraId="13AE2429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D3DD7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A3CE6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Učim, da budem dr. med. spec.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0EE438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6400A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175.917,91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3AE9B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Dom zdravlja KKŽ</w:t>
            </w:r>
          </w:p>
        </w:tc>
      </w:tr>
      <w:tr w:rsidR="00871F69" w:rsidRPr="006A2B0F" w14:paraId="3FBC97A6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E070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11C25" w14:textId="3BCA629A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 xml:space="preserve">Interpretacijski centar </w:t>
            </w:r>
            <w:r w:rsidR="004C54E1" w:rsidRPr="006A2B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Bolenov dravski put“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1878A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999A5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3.512.842,50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009F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Gola</w:t>
            </w:r>
          </w:p>
        </w:tc>
      </w:tr>
      <w:tr w:rsidR="00871F69" w:rsidRPr="006A2B0F" w14:paraId="2AD59912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2848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25AD2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Rekonstrukcija dvorca Inkey u infrastrukturu u funkciji wellness turizma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32434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08062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13.145.620,00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A10DC" w14:textId="7DD9449E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17063286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E168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28AAA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MuDra ciklotura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E64E4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13D17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3.834.880,32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19963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Legrad</w:t>
            </w:r>
          </w:p>
        </w:tc>
      </w:tr>
      <w:tr w:rsidR="00871F69" w:rsidRPr="006A2B0F" w14:paraId="1A95FAD4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D041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1BB4B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Energetska obnova sportske dvorane Molve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B1225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416D7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D2A8B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Osnovna škola Molve</w:t>
            </w:r>
          </w:p>
        </w:tc>
      </w:tr>
      <w:tr w:rsidR="00871F69" w:rsidRPr="006A2B0F" w14:paraId="4BC75623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452D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9A717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Specijalističko usavršavanje medicinskih sestara i tehničara Zavoda za hitnu medicinu KKŽ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BF9AA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5E692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226.182,34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B3399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Zavod za hitnu medicinu KKŽ</w:t>
            </w:r>
          </w:p>
        </w:tc>
      </w:tr>
      <w:tr w:rsidR="00871F69" w:rsidRPr="006A2B0F" w14:paraId="43BD2ABE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06996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F7668" w14:textId="133735E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 xml:space="preserve">Energetska obnova OŠ </w:t>
            </w:r>
            <w:r w:rsidR="004C54E1" w:rsidRPr="006A2B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Grigor Vitez“ Sveti Ivan Žabno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E6899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F6FF3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642.999,62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6AA39" w14:textId="6FA2D56C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7BE6746F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D934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856AC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Energetska obnova sjedišta javnih ustanova Koprivničko-križevačke županije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1E7B0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237A9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687.122,81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E1774" w14:textId="6863FDE6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76AD8712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DC87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0B76D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Interreg Central Europe - EduEN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9B8E6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72366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792.311,20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5E3B5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Gimnazija „Fran Galović“ Koprivnica</w:t>
            </w:r>
          </w:p>
        </w:tc>
      </w:tr>
      <w:tr w:rsidR="00871F69" w:rsidRPr="006A2B0F" w14:paraId="1A1B741C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3A217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E4391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Interreg IPA ADRION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2EB36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67925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2441B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Gimnazija „Fran Galović“ Koprivnica</w:t>
            </w:r>
          </w:p>
        </w:tc>
      </w:tr>
      <w:tr w:rsidR="00871F69" w:rsidRPr="006A2B0F" w14:paraId="60FDDC12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227C5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C82FD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Specijalističko usavršavanje doktora medicine Zavoda za hitnu medicinu KKŽ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9F641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90D5B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477.957,47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22B8F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Zavod za hitnu medicinu KKŽ</w:t>
            </w:r>
          </w:p>
        </w:tc>
      </w:tr>
      <w:tr w:rsidR="00871F69" w:rsidRPr="006A2B0F" w14:paraId="7CC6A5B8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0978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2BD1B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Dogradnja dječjeg vrtića u Koprivničkom Ivancu – 2. poziv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DC08C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0B1EB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162.453,00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67656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Koprivnički Ivanec</w:t>
            </w:r>
          </w:p>
        </w:tc>
      </w:tr>
      <w:tr w:rsidR="00871F69" w:rsidRPr="006A2B0F" w14:paraId="4FF12382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073E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C8DD6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Dogradnja dječjeg vrtića Mali Petar, Podružnica Gornji Fodrovec – 2. poziv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A27E2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8B41B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324.906,00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27A0E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Sveti Petar Orehovec</w:t>
            </w:r>
          </w:p>
        </w:tc>
      </w:tr>
      <w:tr w:rsidR="00871F69" w:rsidRPr="006A2B0F" w14:paraId="42A9DEB5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C0372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D28B9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Dogradnja i opremanje dječjeg vrtića u Novom Virju – 2. poziv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001E0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4987C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162.453,00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AAA08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Novo Virje</w:t>
            </w:r>
          </w:p>
        </w:tc>
      </w:tr>
      <w:tr w:rsidR="00871F69" w:rsidRPr="006A2B0F" w14:paraId="2BE249CD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8B84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1FE8D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OŠ Sveti Ivan Žabno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EF3885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8233B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C4AE8" w14:textId="72E5CC5B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5F34B91C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60BB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B41CE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OŠ Koprivnički Ivanec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85C62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CE40E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5DFBA" w14:textId="172C64D8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380AB7B4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E5F8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2CD21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PŠ Podravske Sesvete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428BC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5B30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FE55" w14:textId="64E99A51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34A79032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6506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7725B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PŠ Fodrovec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AFF54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1ED10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07DD1" w14:textId="6ABC027E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0D386FDC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39CC4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1D36E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OŠ Ferdinandovac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9270F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4D47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D8D09" w14:textId="318ECAA2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52C5DEB4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7F96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6C965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PŠ Hlebine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8E249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E602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DAC40" w14:textId="7BF6E036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432CC1D6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D75D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F43EE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OŠ Rasinja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DAE1F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D98A1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52944" w14:textId="1FE5A4BE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0A295263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5080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2EEB4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OŠ Drnje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C65A0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9D3F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41F81" w14:textId="2E7E2A4C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503D029A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A5BF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B6290C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Zaželi provedi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1703A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ESF+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23C1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346.500,00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79646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Virje</w:t>
            </w:r>
          </w:p>
        </w:tc>
      </w:tr>
      <w:tr w:rsidR="00871F69" w:rsidRPr="006A2B0F" w14:paraId="17EF096F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99B7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F30E6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Zaposli i pomozi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3D89F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ESF+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A2947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1.485.000,00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3047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Drnje</w:t>
            </w:r>
          </w:p>
        </w:tc>
      </w:tr>
      <w:tr w:rsidR="00871F69" w:rsidRPr="006A2B0F" w14:paraId="0F78565F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9A18B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73081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Brižne ruke podravske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CAAFE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ESF+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9BDB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1.188.000,00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246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Kalinovac</w:t>
            </w:r>
          </w:p>
        </w:tc>
      </w:tr>
      <w:tr w:rsidR="00871F69" w:rsidRPr="006A2B0F" w14:paraId="455DB089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6442B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1EE4E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Učim, da budem dr. med. spec.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FE128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D8590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743.398,38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9AA79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Dom zdravlja KKŽ</w:t>
            </w:r>
          </w:p>
        </w:tc>
      </w:tr>
      <w:tr w:rsidR="00871F69" w:rsidRPr="006A2B0F" w14:paraId="2DD375D4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A43A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2F766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Pilot projekt razvoja zelene infrastrukture i kružnog gospodarenja prostorom i zgradama u naselju Goričko u Općini Koprivnički Ivanec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9DCB2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46DEF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931.493,80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A386D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Općina Koprivnički Ivanec</w:t>
            </w:r>
          </w:p>
        </w:tc>
      </w:tr>
      <w:tr w:rsidR="00871F69" w:rsidRPr="006A2B0F" w14:paraId="12F047C8" w14:textId="77777777" w:rsidTr="0084234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23C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45F81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Prilika za sve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0C123" w14:textId="77777777" w:rsidR="00871F69" w:rsidRPr="006A2B0F" w:rsidRDefault="00871F69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ESF+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E3D7F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384.069,60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A0C8D" w14:textId="4EE2919A" w:rsidR="00871F69" w:rsidRPr="006A2B0F" w:rsidRDefault="004910DB" w:rsidP="0084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712EFDE7" w14:textId="77777777" w:rsidTr="00842341">
        <w:trPr>
          <w:trHeight w:val="537"/>
        </w:trPr>
        <w:tc>
          <w:tcPr>
            <w:tcW w:w="5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E6CD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SVEUKUPNA VRIJEDNOST SVIH PROJEKATA KOJIMA JE PRUŽENA STRUČNA POMOĆ U PRIPREMI (28):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356BF" w14:textId="77777777" w:rsidR="00871F69" w:rsidRPr="006A2B0F" w:rsidRDefault="00871F69" w:rsidP="008423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29.224.107,95 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3858C" w14:textId="77777777" w:rsidR="00871F69" w:rsidRPr="006A2B0F" w:rsidRDefault="00871F69" w:rsidP="0084234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UKUPNO 13</w:t>
            </w:r>
          </w:p>
          <w:p w14:paraId="6B67337C" w14:textId="77777777" w:rsidR="00871F69" w:rsidRPr="006A2B0F" w:rsidRDefault="00871F69" w:rsidP="0084234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KORISNIKA</w:t>
            </w:r>
          </w:p>
        </w:tc>
      </w:tr>
    </w:tbl>
    <w:p w14:paraId="32CF6973" w14:textId="77777777" w:rsidR="00871F69" w:rsidRPr="006A2B0F" w:rsidRDefault="00871F69" w:rsidP="00871F69">
      <w:pPr>
        <w:spacing w:line="240" w:lineRule="auto"/>
        <w:contextualSpacing/>
        <w:jc w:val="both"/>
        <w:rPr>
          <w:sz w:val="20"/>
          <w:szCs w:val="20"/>
        </w:rPr>
      </w:pPr>
      <w:bookmarkStart w:id="16" w:name="_Hlk92972493"/>
    </w:p>
    <w:p w14:paraId="5A0D3538" w14:textId="5C5D8951" w:rsidR="00871F69" w:rsidRPr="006A2B0F" w:rsidRDefault="00871F69" w:rsidP="00871F69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A2B0F">
        <w:rPr>
          <w:rFonts w:ascii="Times New Roman" w:hAnsi="Times New Roman"/>
          <w:bCs/>
          <w:sz w:val="24"/>
          <w:szCs w:val="24"/>
        </w:rPr>
        <w:t xml:space="preserve">U 2023. godini Razvojna agencija PORA KKŽ pružala je stručnu pomoć u pripremi za sveukupno </w:t>
      </w:r>
      <w:r w:rsidRPr="006A2B0F">
        <w:rPr>
          <w:rFonts w:ascii="Times New Roman" w:hAnsi="Times New Roman"/>
          <w:b/>
          <w:sz w:val="24"/>
          <w:szCs w:val="24"/>
        </w:rPr>
        <w:t>28 projekata</w:t>
      </w:r>
      <w:r w:rsidRPr="006A2B0F">
        <w:rPr>
          <w:rFonts w:ascii="Times New Roman" w:hAnsi="Times New Roman"/>
          <w:bCs/>
          <w:sz w:val="24"/>
          <w:szCs w:val="24"/>
        </w:rPr>
        <w:t xml:space="preserve"> ukupne vrijednosti </w:t>
      </w:r>
      <w:r w:rsidRPr="006A2B0F">
        <w:rPr>
          <w:rFonts w:ascii="Times New Roman" w:hAnsi="Times New Roman"/>
          <w:b/>
          <w:sz w:val="24"/>
          <w:szCs w:val="24"/>
        </w:rPr>
        <w:t>29.224.107,95</w:t>
      </w:r>
      <w:r w:rsidRPr="006A2B0F">
        <w:rPr>
          <w:rFonts w:ascii="Times New Roman" w:hAnsi="Times New Roman"/>
          <w:bCs/>
          <w:sz w:val="24"/>
          <w:szCs w:val="24"/>
        </w:rPr>
        <w:t xml:space="preserve"> </w:t>
      </w:r>
      <w:r w:rsidRPr="006A2B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eura</w:t>
      </w:r>
      <w:r w:rsidR="000E1CC3" w:rsidRPr="006A2B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(vrijednost uključuje samo definirane iznose projekata s krajem godine).</w:t>
      </w:r>
      <w:r w:rsidR="009C52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bookmarkEnd w:id="16"/>
    <w:p w14:paraId="47BF9A62" w14:textId="0B69C57E" w:rsidR="00871F69" w:rsidRPr="006A2B0F" w:rsidRDefault="00871F69" w:rsidP="00871F69">
      <w:pPr>
        <w:pStyle w:val="Default"/>
        <w:jc w:val="both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Od 28 pripremljenih projekata najveći dio odnosi </w:t>
      </w:r>
      <w:r w:rsidR="007857E2"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se 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na projekte financirane iz Poziva iz Nacionalnog plana oporavka i otpornosti 2021.-2026., njih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22,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od čega su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3 projekta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sveukupne vrijednosti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20.493.342,82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eura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pripremljena i prijavljena na „</w:t>
      </w:r>
      <w:r w:rsidRPr="006A2B0F">
        <w:rPr>
          <w:rFonts w:ascii="Times New Roman" w:hAnsi="Times New Roman" w:cs="Times New Roman"/>
          <w:color w:val="auto"/>
        </w:rPr>
        <w:t xml:space="preserve">Poziv na dodjelu bespovratnih sredstava „Regionalna diversifikacija i specijalizacija hrvatskog turizma kroz ulaganja u razvoj turističkih proizvoda visoke dodane vrijednosti“, </w:t>
      </w:r>
      <w:r w:rsidRPr="006A2B0F">
        <w:rPr>
          <w:rFonts w:ascii="Times New Roman" w:hAnsi="Times New Roman" w:cs="Times New Roman"/>
          <w:b/>
          <w:bCs/>
          <w:color w:val="auto"/>
        </w:rPr>
        <w:t>3</w:t>
      </w:r>
      <w:r w:rsidRPr="006A2B0F">
        <w:rPr>
          <w:rFonts w:ascii="Times New Roman" w:hAnsi="Times New Roman" w:cs="Times New Roman"/>
          <w:color w:val="auto"/>
        </w:rPr>
        <w:t xml:space="preserve"> </w:t>
      </w:r>
      <w:r w:rsidRPr="006A2B0F">
        <w:rPr>
          <w:rFonts w:ascii="Times New Roman" w:hAnsi="Times New Roman" w:cs="Times New Roman"/>
          <w:b/>
          <w:bCs/>
          <w:color w:val="auto"/>
        </w:rPr>
        <w:t>projekta</w:t>
      </w:r>
      <w:r w:rsidRPr="006A2B0F">
        <w:rPr>
          <w:rFonts w:ascii="Times New Roman" w:hAnsi="Times New Roman" w:cs="Times New Roman"/>
          <w:color w:val="auto"/>
        </w:rPr>
        <w:t xml:space="preserve"> na 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„Poziv na dodjelu bespovratnih sredstava Centralno financiranje specijalizacija“ od kojih je jedan projekt još uvijek u pripremi,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1 projekt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na „Ograničeni poziv na dodjelu bespovratnih sredstava Specijalističko usavršavanje medicinskih sestara i tehničara u djelatnosti hitne medicine“,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 xml:space="preserve">3 projekta 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na „Poziv na dodjelu bespovratnih sredstava Izgradnja, dogradnja, rekonstrukcija i opremanje predškolskih ustanova, drugi Poziv“ i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 xml:space="preserve">1 projekt 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na „Poziv na dodjelu bespovratnih sredstava </w:t>
      </w:r>
      <w:r w:rsidRPr="006A2B0F">
        <w:rPr>
          <w:rFonts w:ascii="Times New Roman" w:hAnsi="Times New Roman" w:cs="Times New Roman"/>
          <w:color w:val="auto"/>
        </w:rPr>
        <w:t>Pilot projekt razvoja zelene infrastrukture i/ili kružnog gospodarenja prostorom i zgradama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“. U fazi pripreme je i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 xml:space="preserve">8 projekata 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>na „</w:t>
      </w:r>
      <w:r w:rsidRPr="006A2B0F">
        <w:rPr>
          <w:rFonts w:ascii="Times New Roman" w:hAnsi="Times New Roman" w:cs="Times New Roman"/>
          <w:color w:val="auto"/>
        </w:rPr>
        <w:t xml:space="preserve">Poziv na dostavu projektnih prijedloga Izgradnja, rekonstrukcija i opremanje osnovnih škola za potrebe jednosmjenskog rada i cjelodnevne škole“ </w:t>
      </w:r>
      <w:r w:rsidRPr="006A2B0F">
        <w:rPr>
          <w:rFonts w:ascii="Times New Roman" w:hAnsi="Times New Roman" w:cs="Times New Roman"/>
          <w:i/>
          <w:iCs/>
          <w:color w:val="auto"/>
        </w:rPr>
        <w:t xml:space="preserve">(*nije definirana konačna vrijednost projekata </w:t>
      </w:r>
      <w:r w:rsidR="0012680A" w:rsidRPr="006A2B0F">
        <w:rPr>
          <w:rFonts w:ascii="Times New Roman" w:hAnsi="Times New Roman" w:cs="Times New Roman"/>
          <w:i/>
          <w:iCs/>
          <w:color w:val="auto"/>
        </w:rPr>
        <w:t>jer je izrada istih još uvijek u tijeku</w:t>
      </w:r>
      <w:r w:rsidRPr="006A2B0F">
        <w:rPr>
          <w:rFonts w:ascii="Times New Roman" w:hAnsi="Times New Roman" w:cs="Times New Roman"/>
          <w:color w:val="auto"/>
        </w:rPr>
        <w:t>).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Za Poziv „Energetska obnova zgrada javnog sektora“ pripremana su i prijavljena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2 projekta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te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1 projekt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za „Poziv na iskaz interesa - prijavu zgrada javnog sektora za: Energetsku obnovu zgrada javnog sektora ugovaranjem energetske usluge uz korištenje bespovratne financijske pomoći“. Razvojna agencija PORA KKŽ pružala je stručnu pomoć u pripremi i za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1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r w:rsidRPr="006A2B0F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projekt</w:t>
      </w:r>
      <w:r w:rsidRPr="006A2B0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koji je prijavljen na </w:t>
      </w:r>
      <w:r w:rsidRPr="006A2B0F">
        <w:rPr>
          <w:rFonts w:ascii="Times New Roman" w:hAnsi="Times New Roman"/>
          <w:color w:val="auto"/>
        </w:rPr>
        <w:t xml:space="preserve">Drugi poziv na dostavu projektnih prijedloga u okviru Programa transnacionalne suradnje Interreg Central Europe 2021.-2027. te </w:t>
      </w:r>
      <w:r w:rsidRPr="006A2B0F">
        <w:rPr>
          <w:rFonts w:ascii="Times New Roman" w:hAnsi="Times New Roman"/>
          <w:b/>
          <w:bCs/>
          <w:color w:val="auto"/>
        </w:rPr>
        <w:t>1</w:t>
      </w:r>
      <w:r w:rsidRPr="006A2B0F">
        <w:rPr>
          <w:rFonts w:ascii="Times New Roman" w:hAnsi="Times New Roman"/>
          <w:color w:val="auto"/>
        </w:rPr>
        <w:t xml:space="preserve"> </w:t>
      </w:r>
      <w:r w:rsidRPr="006A2B0F">
        <w:rPr>
          <w:rFonts w:ascii="Times New Roman" w:hAnsi="Times New Roman"/>
          <w:b/>
          <w:bCs/>
          <w:color w:val="auto"/>
        </w:rPr>
        <w:t>projekt</w:t>
      </w:r>
      <w:r w:rsidRPr="006A2B0F">
        <w:rPr>
          <w:rFonts w:ascii="Times New Roman" w:hAnsi="Times New Roman"/>
          <w:color w:val="auto"/>
        </w:rPr>
        <w:t xml:space="preserve"> za Prvi poziv na dostavu projektnih prijedloga u okviru Jadransko-jonskog Programa transnacionalne suradnje 2021.-2027. koji </w:t>
      </w:r>
      <w:r w:rsidR="00FD2E38" w:rsidRPr="006A2B0F">
        <w:rPr>
          <w:rFonts w:ascii="Times New Roman" w:hAnsi="Times New Roman"/>
          <w:color w:val="auto"/>
        </w:rPr>
        <w:t xml:space="preserve">iz objektivnih razloga </w:t>
      </w:r>
      <w:r w:rsidRPr="006A2B0F">
        <w:rPr>
          <w:rFonts w:ascii="Times New Roman" w:hAnsi="Times New Roman"/>
          <w:color w:val="auto"/>
        </w:rPr>
        <w:t>nije prijavljen</w:t>
      </w:r>
      <w:r w:rsidR="00FD2E38" w:rsidRPr="006A2B0F">
        <w:rPr>
          <w:rFonts w:ascii="Times New Roman" w:hAnsi="Times New Roman"/>
          <w:color w:val="auto"/>
        </w:rPr>
        <w:t xml:space="preserve"> te </w:t>
      </w:r>
      <w:r w:rsidR="00FD2E38" w:rsidRPr="006A2B0F">
        <w:rPr>
          <w:rFonts w:ascii="Times New Roman" w:hAnsi="Times New Roman" w:cs="Times New Roman"/>
          <w:color w:val="auto"/>
        </w:rPr>
        <w:t>nije definirana ni konačna vrijednost projekta</w:t>
      </w:r>
      <w:r w:rsidRPr="006A2B0F">
        <w:rPr>
          <w:rFonts w:ascii="Times New Roman" w:hAnsi="Times New Roman"/>
          <w:bCs/>
          <w:color w:val="auto"/>
        </w:rPr>
        <w:t xml:space="preserve">. Stručna pomoć u pripremi pružena je i za </w:t>
      </w:r>
      <w:r w:rsidRPr="006A2B0F">
        <w:rPr>
          <w:rFonts w:ascii="Times New Roman" w:hAnsi="Times New Roman"/>
          <w:b/>
          <w:color w:val="auto"/>
        </w:rPr>
        <w:t>4 projekta</w:t>
      </w:r>
      <w:r w:rsidRPr="006A2B0F">
        <w:rPr>
          <w:rFonts w:ascii="Times New Roman" w:hAnsi="Times New Roman"/>
          <w:bCs/>
          <w:color w:val="auto"/>
        </w:rPr>
        <w:t xml:space="preserve"> prijavljena na Pozive iz Europskog socijalnog fonda + i to 3 projekta za Poziv na dostavu projektnih prijedloga „Zaželi – prevencija institucionalizacije“ te 1 projekt za Poziv </w:t>
      </w:r>
      <w:r w:rsidRPr="006A2B0F">
        <w:rPr>
          <w:rFonts w:ascii="Times New Roman" w:hAnsi="Times New Roman" w:cs="Times New Roman"/>
        </w:rPr>
        <w:t xml:space="preserve">na dostavu projektnih prijedloga „Osiguravanje pomoćnika u nastavi i stručnih komunikacijskih posrednika učenicima s teškoćama u razvoju u osnovnoškolskim </w:t>
      </w:r>
      <w:r w:rsidRPr="006A2B0F">
        <w:rPr>
          <w:rFonts w:ascii="Times New Roman" w:eastAsiaTheme="minorHAnsi" w:hAnsi="Times New Roman" w:cs="Times New Roman"/>
          <w14:ligatures w14:val="standardContextual"/>
        </w:rPr>
        <w:t>i srednjoškolskim odgojno-obrazovnim ustanovama – faza VI“.</w:t>
      </w:r>
    </w:p>
    <w:p w14:paraId="1C9270CE" w14:textId="0FDE5626" w:rsidR="00871F69" w:rsidRPr="009C52D4" w:rsidRDefault="00871F69" w:rsidP="00871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B0F">
        <w:rPr>
          <w:rFonts w:ascii="Times New Roman" w:hAnsi="Times New Roman"/>
          <w:bCs/>
          <w:sz w:val="24"/>
          <w:szCs w:val="24"/>
        </w:rPr>
        <w:t xml:space="preserve">Stručna </w:t>
      </w:r>
      <w:r w:rsidRPr="009C52D4">
        <w:rPr>
          <w:rFonts w:ascii="Times New Roman" w:hAnsi="Times New Roman"/>
          <w:bCs/>
          <w:sz w:val="24"/>
          <w:szCs w:val="24"/>
        </w:rPr>
        <w:t xml:space="preserve">pomoć u pripremi pružena je za sveukupno </w:t>
      </w:r>
      <w:r w:rsidRPr="009C52D4">
        <w:rPr>
          <w:rFonts w:ascii="Times New Roman" w:hAnsi="Times New Roman"/>
          <w:b/>
          <w:sz w:val="24"/>
          <w:szCs w:val="24"/>
        </w:rPr>
        <w:t>13 korisnika</w:t>
      </w:r>
      <w:r w:rsidRPr="009C52D4">
        <w:rPr>
          <w:rFonts w:ascii="Times New Roman" w:hAnsi="Times New Roman"/>
          <w:bCs/>
          <w:sz w:val="24"/>
          <w:szCs w:val="24"/>
        </w:rPr>
        <w:t xml:space="preserve"> i to jedinica lokalne samouprave, </w:t>
      </w:r>
      <w:r w:rsidR="00FD2E38" w:rsidRPr="009C52D4">
        <w:rPr>
          <w:rFonts w:ascii="Times New Roman" w:hAnsi="Times New Roman"/>
          <w:bCs/>
          <w:sz w:val="24"/>
          <w:szCs w:val="24"/>
        </w:rPr>
        <w:t>KKŽ</w:t>
      </w:r>
      <w:r w:rsidRPr="009C52D4">
        <w:rPr>
          <w:rFonts w:ascii="Times New Roman" w:hAnsi="Times New Roman"/>
          <w:bCs/>
          <w:sz w:val="24"/>
          <w:szCs w:val="24"/>
        </w:rPr>
        <w:t xml:space="preserve"> te ostala javnopravna tijela s područja </w:t>
      </w:r>
      <w:r w:rsidR="00FD2E38" w:rsidRPr="009C52D4">
        <w:rPr>
          <w:rFonts w:ascii="Times New Roman" w:hAnsi="Times New Roman"/>
          <w:bCs/>
          <w:sz w:val="24"/>
          <w:szCs w:val="24"/>
        </w:rPr>
        <w:t>KKŽ</w:t>
      </w:r>
      <w:r w:rsidRPr="009C52D4">
        <w:rPr>
          <w:rFonts w:ascii="Times New Roman" w:hAnsi="Times New Roman"/>
          <w:bCs/>
          <w:sz w:val="24"/>
          <w:szCs w:val="24"/>
        </w:rPr>
        <w:t>.</w:t>
      </w:r>
    </w:p>
    <w:p w14:paraId="38FE4216" w14:textId="77777777" w:rsidR="00871F69" w:rsidRPr="006A2B0F" w:rsidRDefault="00871F69" w:rsidP="00871F69">
      <w:pPr>
        <w:spacing w:after="0" w:line="240" w:lineRule="auto"/>
        <w:jc w:val="both"/>
        <w:rPr>
          <w:sz w:val="20"/>
          <w:szCs w:val="20"/>
        </w:rPr>
      </w:pPr>
    </w:p>
    <w:p w14:paraId="1252370A" w14:textId="77777777" w:rsidR="001F0EFF" w:rsidRDefault="001F0EFF" w:rsidP="00871F69">
      <w:pPr>
        <w:spacing w:after="0" w:line="240" w:lineRule="auto"/>
        <w:jc w:val="both"/>
        <w:rPr>
          <w:sz w:val="20"/>
          <w:szCs w:val="20"/>
        </w:rPr>
      </w:pPr>
    </w:p>
    <w:p w14:paraId="71AD40EA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07F38F62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634BA1C4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0716324C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3365485D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4F3284E4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617DD207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12DDB418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71A1D7D6" w14:textId="77777777" w:rsidR="00423482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74C88D92" w14:textId="77777777" w:rsidR="00423482" w:rsidRPr="006A2B0F" w:rsidRDefault="00423482" w:rsidP="00871F69">
      <w:pPr>
        <w:spacing w:after="0" w:line="240" w:lineRule="auto"/>
        <w:jc w:val="both"/>
        <w:rPr>
          <w:sz w:val="20"/>
          <w:szCs w:val="20"/>
        </w:rPr>
      </w:pPr>
    </w:p>
    <w:p w14:paraId="2FC462A2" w14:textId="2D3860B5" w:rsidR="00871F69" w:rsidRDefault="009965F7" w:rsidP="00871F69">
      <w:pPr>
        <w:pStyle w:val="Heading3"/>
        <w:jc w:val="both"/>
        <w:rPr>
          <w:rStyle w:val="Heading3Char"/>
          <w:rFonts w:ascii="Times New Roman" w:hAnsi="Times New Roman" w:cs="Times New Roman"/>
          <w:b/>
          <w:bCs/>
          <w:color w:val="auto"/>
        </w:rPr>
      </w:pPr>
      <w:bookmarkStart w:id="17" w:name="_Toc82430860"/>
      <w:bookmarkStart w:id="18" w:name="_Toc107984271"/>
      <w:r w:rsidRPr="006A2B0F">
        <w:rPr>
          <w:rStyle w:val="Heading3Char"/>
          <w:rFonts w:ascii="Times New Roman" w:hAnsi="Times New Roman" w:cs="Times New Roman"/>
          <w:b/>
          <w:bCs/>
          <w:color w:val="auto"/>
        </w:rPr>
        <w:lastRenderedPageBreak/>
        <w:t>3.2.</w:t>
      </w:r>
      <w:r w:rsidR="00871F69" w:rsidRPr="006A2B0F">
        <w:rPr>
          <w:rStyle w:val="Heading3Char"/>
          <w:rFonts w:ascii="Times New Roman" w:hAnsi="Times New Roman" w:cs="Times New Roman"/>
          <w:b/>
          <w:bCs/>
          <w:color w:val="auto"/>
        </w:rPr>
        <w:t xml:space="preserve">2.2. POPIS PROJEKATA SUFINANCIRANIH IZ EU FONDOVA U KOJIMA JE RAZVOJNA AGENCIJA PORA KKŽ PRUŽALA STRUČNU POMOĆ </w:t>
      </w:r>
      <w:r w:rsidR="00871F69" w:rsidRPr="006A2B0F">
        <w:rPr>
          <w:rStyle w:val="Heading3Char"/>
          <w:rFonts w:ascii="Times New Roman" w:hAnsi="Times New Roman" w:cs="Times New Roman"/>
          <w:b/>
          <w:bCs/>
          <w:color w:val="auto"/>
          <w:u w:val="single"/>
        </w:rPr>
        <w:t>U PROVEDBI</w:t>
      </w:r>
      <w:r w:rsidR="00871F69" w:rsidRPr="006A2B0F">
        <w:rPr>
          <w:rStyle w:val="Heading3Char"/>
          <w:rFonts w:ascii="Times New Roman" w:hAnsi="Times New Roman" w:cs="Times New Roman"/>
          <w:b/>
          <w:bCs/>
          <w:color w:val="auto"/>
        </w:rPr>
        <w:t xml:space="preserve"> ZA JAVNOPRAVNA TIJELA S PODRUČJA KKŽ </w:t>
      </w:r>
      <w:bookmarkEnd w:id="17"/>
      <w:bookmarkEnd w:id="18"/>
    </w:p>
    <w:p w14:paraId="1769CEC0" w14:textId="77777777" w:rsidR="00A902B7" w:rsidRPr="00A902B7" w:rsidRDefault="00A902B7" w:rsidP="00E4074E">
      <w:pPr>
        <w:spacing w:after="0"/>
      </w:pPr>
    </w:p>
    <w:p w14:paraId="1C08A51D" w14:textId="1976EAA1" w:rsidR="00871F69" w:rsidRPr="00D03252" w:rsidRDefault="00A902B7" w:rsidP="00871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>Tablica 16. Popis projekata</w:t>
      </w: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59"/>
        <w:gridCol w:w="992"/>
        <w:gridCol w:w="1701"/>
        <w:gridCol w:w="2127"/>
      </w:tblGrid>
      <w:tr w:rsidR="00871F69" w:rsidRPr="006A2B0F" w14:paraId="12F9E70D" w14:textId="77777777" w:rsidTr="00842341">
        <w:trPr>
          <w:trHeight w:val="589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2B30F3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A5BAE55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A3BEEA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83FA5EE" w14:textId="5170611F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UKUPAN IZNOS U EUR</w:t>
            </w:r>
            <w:r w:rsidR="00DD1301"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CCD81D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NOSITELJ PROJEKTA</w:t>
            </w:r>
          </w:p>
        </w:tc>
      </w:tr>
      <w:tr w:rsidR="00871F69" w:rsidRPr="006A2B0F" w14:paraId="10B75DE2" w14:textId="77777777" w:rsidTr="0084234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19313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3FFF7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Centar kompetentnosti u Koprivničko-križevačkoj županiji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F8C2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1BEAA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3.984.542,91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C669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Obrtnička škola Koprivnica</w:t>
            </w:r>
          </w:p>
        </w:tc>
      </w:tr>
      <w:tr w:rsidR="00871F69" w:rsidRPr="006A2B0F" w14:paraId="2D099FAE" w14:textId="77777777" w:rsidTr="0084234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96A1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7CDAB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Razvoj kompetencija kroz učenje temeljeno na 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EA06B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176E6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3.985.363,44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B214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Obrtnička škola Koprivnica</w:t>
            </w:r>
          </w:p>
        </w:tc>
      </w:tr>
      <w:tr w:rsidR="00871F69" w:rsidRPr="006A2B0F" w14:paraId="1D783E26" w14:textId="77777777" w:rsidTr="0084234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F90B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02A74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Novi početak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(izgradnja i opremanje sigurne kuće)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979C8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1DF18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1.225.546,55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89C12" w14:textId="7233DBFF" w:rsidR="00871F69" w:rsidRPr="006A2B0F" w:rsidRDefault="00A677DE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KKŽ</w:t>
            </w:r>
          </w:p>
        </w:tc>
      </w:tr>
      <w:tr w:rsidR="00871F69" w:rsidRPr="006A2B0F" w14:paraId="5602259C" w14:textId="77777777" w:rsidTr="00842341">
        <w:trPr>
          <w:trHeight w:val="6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508F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5479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Uspostava infrastrukture za pružanje socijalnih usluga Centra za socijalnu skrb Đurđevac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93D1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A244D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879.426,22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F829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Hrvatski zavod za socijalni rad (CZSS Đurđevac)</w:t>
            </w: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1F69" w:rsidRPr="006A2B0F" w14:paraId="386F7665" w14:textId="77777777" w:rsidTr="00842341">
        <w:trPr>
          <w:trHeight w:val="6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9BF7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22FD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Uspostava Podružnice obiteljskog centra Centra za socijalnu skrb Koprivnica kao podrška procesu deinstitucionalizacije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2F4A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4319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727.956,94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AD1C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Obiteljski centar (CZSS Koprivnica)</w:t>
            </w:r>
          </w:p>
        </w:tc>
      </w:tr>
      <w:tr w:rsidR="00871F69" w:rsidRPr="006A2B0F" w14:paraId="7715ED1E" w14:textId="77777777" w:rsidTr="00842341">
        <w:trPr>
          <w:trHeight w:val="54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DE120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259B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ZAPOSLI PA POMOZI 2 </w:t>
            </w:r>
          </w:p>
          <w:p w14:paraId="3247F00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(Program ZAŽELI – faza II;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gerontodomaćice)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0521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A7834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447.463,00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224A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Novigrad Podravski</w:t>
            </w:r>
          </w:p>
        </w:tc>
      </w:tr>
      <w:tr w:rsidR="00871F69" w:rsidRPr="006A2B0F" w14:paraId="010C23B6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83D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DD21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Mobilno reciklažno dvorište Općine Novo Virje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25CA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A5741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32.971,66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21C8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Novo Virje</w:t>
            </w:r>
          </w:p>
        </w:tc>
      </w:tr>
      <w:tr w:rsidR="00871F69" w:rsidRPr="006A2B0F" w14:paraId="725B2179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29BF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E70C75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Zrno nade za nas mlade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5B7C0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71306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712.066,49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19198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Centar za pružanje usluga u zajednici Svitanje</w:t>
            </w:r>
          </w:p>
        </w:tc>
      </w:tr>
      <w:tr w:rsidR="00871F69" w:rsidRPr="006A2B0F" w14:paraId="7D5B132D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01412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ECCC8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Obiteljski centar kao mjesto podrške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2F11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8EB48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396.394,97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70BC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Obiteljski centar – Područna služba Koprivničko-križevačka (CZSS Koprivnica)</w:t>
            </w:r>
          </w:p>
        </w:tc>
      </w:tr>
      <w:tr w:rsidR="00871F69" w:rsidRPr="006A2B0F" w14:paraId="6A5EB3EF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B8F4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52A75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Razvoj socijalnih usluga za snažniju obitelj i podršku mladima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87C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866EA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230.538,23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0F5B4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Obiteljski centar – Područna služba Koprivničko-križevačka (CZSS Đurđevac)</w:t>
            </w:r>
          </w:p>
        </w:tc>
      </w:tr>
      <w:tr w:rsidR="00871F69" w:rsidRPr="006A2B0F" w14:paraId="2A3D2F70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9C4D8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1775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GASTROTOP –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poboljšanje dostupnosti obrazovnih platformi u području gastro turizma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B715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8B7D5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291.243,20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11EF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Visoko gospodarsko učilište u Križevcima</w:t>
            </w:r>
          </w:p>
        </w:tc>
      </w:tr>
      <w:tr w:rsidR="00871F69" w:rsidRPr="006A2B0F" w14:paraId="6A618FE1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1A96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C22A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Zdravi, aktivni i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ABC9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17E64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31.760,54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8949" w14:textId="2BE7BBC2" w:rsidR="00871F69" w:rsidRPr="006A2B0F" w:rsidRDefault="004910DB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KKŽ</w:t>
            </w:r>
          </w:p>
        </w:tc>
      </w:tr>
      <w:tr w:rsidR="00871F69" w:rsidRPr="006A2B0F" w14:paraId="7C32094F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9AD30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5ED58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Zdravo srce, zdrava budućnost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F19D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4064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52.264,18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91186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Dom zdravlja KKŽ</w:t>
            </w:r>
          </w:p>
        </w:tc>
      </w:tr>
      <w:tr w:rsidR="00871F69" w:rsidRPr="006A2B0F" w14:paraId="7D1B3A11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C0E6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1D5F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SALIKS – Spasilačka akcija u Legradu i kreativno stvaranje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96BC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94480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42.033,56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5E912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Legrad</w:t>
            </w:r>
          </w:p>
        </w:tc>
      </w:tr>
      <w:tr w:rsidR="00871F69" w:rsidRPr="006A2B0F" w14:paraId="41A76B60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F98E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9EA8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i opremanje dječjeg igrališta u Peterancu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611C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4107A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66.752,11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8D95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Peteranec</w:t>
            </w:r>
          </w:p>
        </w:tc>
      </w:tr>
      <w:tr w:rsidR="00871F69" w:rsidRPr="006A2B0F" w14:paraId="53C22A97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F0A4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94B48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Zaposli pa pomozi 3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(Program ZAŽELI – faza III;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gerontodomaćice)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A0A0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FBEEF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118.112,68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C8B2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Novigrad Podravski</w:t>
            </w:r>
          </w:p>
        </w:tc>
      </w:tr>
      <w:tr w:rsidR="00871F69" w:rsidRPr="006A2B0F" w14:paraId="7D363537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B85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511D7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Projektno-tehnička dokumentacija za projekt „Regionalni centar za palijativnu medicinu i liječenje boli“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A20F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CF52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226.209,44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12E9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Opća bolnica Koprivnica</w:t>
            </w:r>
          </w:p>
        </w:tc>
      </w:tr>
      <w:tr w:rsidR="00871F69" w:rsidRPr="006A2B0F" w14:paraId="5612EDD3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48CA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5688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Projektno-tehnička dokumentacija za projekt „Izgradnja Srednje škole Koprivnica“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86FF8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C3E0E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266.606,94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58B6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Srednja škola Koprivnica</w:t>
            </w:r>
          </w:p>
        </w:tc>
      </w:tr>
      <w:tr w:rsidR="00871F69" w:rsidRPr="006A2B0F" w14:paraId="16D3A086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AA30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D022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Rekonstrukcija parka u Drnju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9993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7D295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53.425,38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84D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Drnje</w:t>
            </w:r>
          </w:p>
        </w:tc>
      </w:tr>
      <w:tr w:rsidR="00871F69" w:rsidRPr="006A2B0F" w14:paraId="263B7B57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1FBC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E5365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Zaposli i pomozi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(Program ZAŽELI – faza III;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gerontodomaćice)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1BBA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81981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150.921,76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75A2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Drnje</w:t>
            </w:r>
          </w:p>
        </w:tc>
      </w:tr>
      <w:tr w:rsidR="00871F69" w:rsidRPr="006A2B0F" w14:paraId="4400AC42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79045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694D5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 je moć 2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(Program ZAŽELI – faza III;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gerontodomaćice)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8B38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D11F3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124.600,17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6561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Legrad</w:t>
            </w:r>
          </w:p>
        </w:tc>
      </w:tr>
      <w:tr w:rsidR="00871F69" w:rsidRPr="006A2B0F" w14:paraId="668B2088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D30F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ACA7D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Građenje i opremanje montažnih tribina na sportskom igralištu NK Borac Imbriovec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06FD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0ACC2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22.354,67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3C8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Đelekovec</w:t>
            </w:r>
          </w:p>
        </w:tc>
      </w:tr>
      <w:tr w:rsidR="00871F69" w:rsidRPr="006A2B0F" w14:paraId="2026E5C0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BEB6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3B5A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Brižne žene podravske III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(Program ZAŽELI – faza III;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gerontodomaćice)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B8CB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7EA1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98.427,23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09CA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Kalinovac</w:t>
            </w:r>
          </w:p>
        </w:tc>
      </w:tr>
      <w:tr w:rsidR="00871F69" w:rsidRPr="006A2B0F" w14:paraId="451AC2CA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8AEE0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97CB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Zaželi – provedi 3!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(Program ZAŽELI – faza III; </w:t>
            </w:r>
            <w:r w:rsidRPr="006A2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gerontodomaćice)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2ABA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ESF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F4B61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59.056,34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BA6C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Virje</w:t>
            </w:r>
          </w:p>
        </w:tc>
      </w:tr>
      <w:tr w:rsidR="00871F69" w:rsidRPr="006A2B0F" w14:paraId="1D543334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FA1B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AC2C4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dječjeg igrališta u Delovima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EAD4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A28A0" w14:textId="77777777" w:rsidR="00871F69" w:rsidRPr="006A2B0F" w:rsidRDefault="00871F69" w:rsidP="0084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22.259,86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565E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Novigrad Podravski</w:t>
            </w:r>
          </w:p>
        </w:tc>
      </w:tr>
      <w:tr w:rsidR="00871F69" w:rsidRPr="006A2B0F" w14:paraId="537D0B59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D205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E8A4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Dogradnja i opremanje dječjeg vrtića s jaslicama u Virju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B125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A8F6F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324.905,43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D5F47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Virje</w:t>
            </w:r>
          </w:p>
        </w:tc>
      </w:tr>
      <w:tr w:rsidR="00871F69" w:rsidRPr="006A2B0F" w14:paraId="104D0E28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9260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4CC6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Izgradnja dječjeg vrtića u Koprivničkom Ivancu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39BC3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B4EB8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544.694,41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7E29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Koprivnički Ivanec</w:t>
            </w:r>
          </w:p>
        </w:tc>
      </w:tr>
      <w:tr w:rsidR="00871F69" w:rsidRPr="006A2B0F" w14:paraId="75958868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4D0B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73765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Dogradnja Dječjeg vrtića Dabrić Legrad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C50BE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6CAE7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162.452,72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2D0E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Legrad</w:t>
            </w:r>
          </w:p>
        </w:tc>
      </w:tr>
      <w:tr w:rsidR="00871F69" w:rsidRPr="006A2B0F" w14:paraId="66460AC3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F11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4148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Izgradnja dječjeg vrtića u Goli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4BE6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9988A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573.362,53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DAA2B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Gola</w:t>
            </w:r>
          </w:p>
        </w:tc>
      </w:tr>
      <w:tr w:rsidR="00871F69" w:rsidRPr="006A2B0F" w14:paraId="101B2FE6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7C9A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024A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Dogradnja Dječjeg vrtića Mali Petar u naselju Sveti Petar Orehovec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BB0E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D6BC6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324.905,43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C6212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Sveti Petar Orehovec</w:t>
            </w:r>
          </w:p>
        </w:tc>
      </w:tr>
      <w:tr w:rsidR="00871F69" w:rsidRPr="006A2B0F" w14:paraId="1958EB56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9387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8D426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dječjeg igrališta u Koprivničkim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Bregima 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F8D3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A82C1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57.086,94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6E9E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Koprivnički Bregi</w:t>
            </w:r>
          </w:p>
        </w:tc>
      </w:tr>
      <w:tr w:rsidR="00871F69" w:rsidRPr="006A2B0F" w14:paraId="0A82BD56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90B9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EBFC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Mobilno reciklažno dvorište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F1A6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55A67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35.868,35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A120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Gola</w:t>
            </w:r>
          </w:p>
        </w:tc>
      </w:tr>
      <w:tr w:rsidR="00871F69" w:rsidRPr="006A2B0F" w14:paraId="6D088071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4C7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FF18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Rekonstrukcija dječjeg vrtića Fijolica (7.4.1.)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1BDC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97CAA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327.299,54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060A6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Novigrad Podravski</w:t>
            </w:r>
          </w:p>
        </w:tc>
      </w:tr>
      <w:tr w:rsidR="00871F69" w:rsidRPr="006A2B0F" w14:paraId="0140D888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45B78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60481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Priprema projektno-tehničke dokumentacije za projekt „Centar za posjetitelje“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790B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7C419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79.356,96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AEA72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Legrad</w:t>
            </w:r>
          </w:p>
        </w:tc>
      </w:tr>
      <w:tr w:rsidR="00871F69" w:rsidRPr="006A2B0F" w14:paraId="0C5396CE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F86F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975FD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Priprema projektno-tehničke dokumentacije za projekt „Izgradnja 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biciklističko-pješačkih staza u naseljima V. Otok i Selnica Podravska u Legradu“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06275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E081C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88.238,55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D955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Legrad</w:t>
            </w:r>
          </w:p>
        </w:tc>
      </w:tr>
      <w:tr w:rsidR="00871F69" w:rsidRPr="006A2B0F" w14:paraId="491C8BFD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D194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08F37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dječjeg vrtića i jaslica u Đelekovcu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30EB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8653D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363.129,60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0983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Đelekovec</w:t>
            </w:r>
          </w:p>
        </w:tc>
      </w:tr>
      <w:tr w:rsidR="00871F69" w:rsidRPr="006A2B0F" w14:paraId="2B43B6A2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3351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9775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Izgradnja sanitarnog čvora na TRC Šoderica </w:t>
            </w:r>
            <w:r w:rsidRPr="006A2B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(LAG Mura-Drava)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454B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EF74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59.090,75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C1738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Legrad</w:t>
            </w:r>
          </w:p>
        </w:tc>
      </w:tr>
      <w:tr w:rsidR="00871F69" w:rsidRPr="006A2B0F" w14:paraId="4E292A9D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21EE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38.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914C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Gradnja i opremanje montažnih tribina na sportskom igralištu NK Graničar Novo Virje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0113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0E715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34.744,34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DFFB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Novo Virje</w:t>
            </w:r>
          </w:p>
        </w:tc>
      </w:tr>
      <w:tr w:rsidR="00871F69" w:rsidRPr="006A2B0F" w14:paraId="667AE76F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495E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7F36B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Rekonstrukcija ograde groblja u Goli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23FA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136E6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46.305,77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DCD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Gola</w:t>
            </w:r>
          </w:p>
        </w:tc>
      </w:tr>
      <w:tr w:rsidR="00871F69" w:rsidRPr="006A2B0F" w14:paraId="1EB93681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D7F4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91E49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Građenje i opremanje dječjeg igrališta u naselju Repaš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BBFA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3F0B6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25.335,74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652F5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Molve</w:t>
            </w:r>
          </w:p>
        </w:tc>
      </w:tr>
      <w:tr w:rsidR="00871F69" w:rsidRPr="006A2B0F" w14:paraId="69AA1C2B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CC0D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FBB7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Rekonstrukcija ograde groblja u Hlebinama </w:t>
            </w:r>
            <w:r w:rsidRPr="006A2B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(LAG Podravina)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8CF7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EPFRR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C5B14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44.593,20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EED8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Hlebine</w:t>
            </w:r>
          </w:p>
        </w:tc>
      </w:tr>
      <w:tr w:rsidR="00871F69" w:rsidRPr="006A2B0F" w14:paraId="3227EED4" w14:textId="77777777" w:rsidTr="0084234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7813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42.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46ABA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Dogradnja Dječjeg vrtića Mali medo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F3C4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NPOO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97B45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162.452,72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AAE27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Općina Gornja Rijeka</w:t>
            </w:r>
          </w:p>
        </w:tc>
      </w:tr>
      <w:tr w:rsidR="00871F69" w:rsidRPr="006A2B0F" w14:paraId="5FAA5E3C" w14:textId="77777777" w:rsidTr="00842341">
        <w:trPr>
          <w:trHeight w:val="537"/>
          <w:jc w:val="center"/>
        </w:trPr>
        <w:tc>
          <w:tcPr>
            <w:tcW w:w="5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1FAA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SVEUKUPNA VRIJEDNOST SVIH PROJEKATA KOJIMA JE PRUŽENA STRUČNA I SAVJETODAVNA POMOĆ U PROVEDBI (42):</w:t>
            </w: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8D480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BFCD616" w14:textId="77777777" w:rsidR="00871F69" w:rsidRPr="006A2B0F" w:rsidRDefault="00871F69" w:rsidP="001C2A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17.502.121,45 EUR</w:t>
            </w:r>
          </w:p>
          <w:p w14:paraId="2DAE14E9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4FF7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UKUPNO 24 KORISNIKA</w:t>
            </w:r>
          </w:p>
        </w:tc>
      </w:tr>
    </w:tbl>
    <w:p w14:paraId="56636176" w14:textId="77777777" w:rsidR="00FD2E38" w:rsidRPr="006A2B0F" w:rsidRDefault="00FD2E38" w:rsidP="00871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35ADB1" w14:textId="0CBB7589" w:rsidR="00871F69" w:rsidRPr="00A07686" w:rsidRDefault="00FD2E38" w:rsidP="00871F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686">
        <w:rPr>
          <w:rFonts w:ascii="Times New Roman" w:hAnsi="Times New Roman"/>
          <w:bCs/>
          <w:sz w:val="24"/>
          <w:szCs w:val="24"/>
        </w:rPr>
        <w:t xml:space="preserve">Tijekom godine </w:t>
      </w:r>
      <w:r w:rsidR="00871F69" w:rsidRPr="00A07686">
        <w:rPr>
          <w:rFonts w:ascii="Times New Roman" w:hAnsi="Times New Roman"/>
          <w:bCs/>
          <w:sz w:val="24"/>
          <w:szCs w:val="24"/>
        </w:rPr>
        <w:t xml:space="preserve">PORA KKŽ pružala je stručnu pomoć u provedbi sveukupno </w:t>
      </w:r>
      <w:r w:rsidR="00871F69" w:rsidRPr="00A07686">
        <w:rPr>
          <w:rFonts w:ascii="Times New Roman" w:hAnsi="Times New Roman"/>
          <w:b/>
          <w:sz w:val="24"/>
          <w:szCs w:val="24"/>
        </w:rPr>
        <w:t>42 projekta</w:t>
      </w:r>
      <w:r w:rsidR="00871F69" w:rsidRPr="00A07686">
        <w:rPr>
          <w:rFonts w:ascii="Times New Roman" w:hAnsi="Times New Roman"/>
          <w:bCs/>
          <w:sz w:val="24"/>
          <w:szCs w:val="24"/>
        </w:rPr>
        <w:t xml:space="preserve"> ukupne vrijednosti </w:t>
      </w:r>
      <w:r w:rsidR="00871F69" w:rsidRPr="00A0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17.502.121,45 eura</w:t>
      </w:r>
      <w:r w:rsidR="00871F69" w:rsidRPr="00A076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F69" w:rsidRPr="00A07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5552BA8" w14:textId="294834EC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686">
        <w:rPr>
          <w:rFonts w:ascii="Times New Roman" w:hAnsi="Times New Roman" w:cs="Times New Roman"/>
          <w:sz w:val="24"/>
          <w:szCs w:val="24"/>
        </w:rPr>
        <w:t>Najveći dio</w:t>
      </w:r>
      <w:r w:rsidRPr="00A07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686">
        <w:rPr>
          <w:rFonts w:ascii="Times New Roman" w:hAnsi="Times New Roman"/>
          <w:bCs/>
          <w:sz w:val="24"/>
          <w:szCs w:val="24"/>
        </w:rPr>
        <w:t>odnosi se na projekte iz područja obrazovanja (</w:t>
      </w:r>
      <w:r w:rsidRPr="00A07686">
        <w:rPr>
          <w:rFonts w:ascii="Times New Roman" w:hAnsi="Times New Roman"/>
          <w:b/>
          <w:sz w:val="24"/>
          <w:szCs w:val="24"/>
        </w:rPr>
        <w:t>12</w:t>
      </w:r>
      <w:r w:rsidRPr="00A07686">
        <w:rPr>
          <w:rFonts w:ascii="Times New Roman" w:hAnsi="Times New Roman"/>
          <w:bCs/>
          <w:sz w:val="24"/>
          <w:szCs w:val="24"/>
        </w:rPr>
        <w:t xml:space="preserve">) i unapređenja socijalnih usluga u </w:t>
      </w:r>
      <w:r w:rsidR="00FD2E38" w:rsidRPr="00A07686">
        <w:rPr>
          <w:rFonts w:ascii="Times New Roman" w:hAnsi="Times New Roman"/>
          <w:bCs/>
          <w:sz w:val="24"/>
          <w:szCs w:val="24"/>
        </w:rPr>
        <w:t>KKŽ</w:t>
      </w:r>
      <w:r w:rsidRPr="00A07686">
        <w:rPr>
          <w:rFonts w:ascii="Times New Roman" w:hAnsi="Times New Roman"/>
          <w:bCs/>
          <w:sz w:val="24"/>
          <w:szCs w:val="24"/>
        </w:rPr>
        <w:t xml:space="preserve"> (</w:t>
      </w:r>
      <w:r w:rsidRPr="00A07686">
        <w:rPr>
          <w:rFonts w:ascii="Times New Roman" w:hAnsi="Times New Roman"/>
          <w:b/>
          <w:sz w:val="24"/>
          <w:szCs w:val="24"/>
        </w:rPr>
        <w:t>12</w:t>
      </w:r>
      <w:r w:rsidRPr="00A07686">
        <w:rPr>
          <w:rFonts w:ascii="Times New Roman" w:hAnsi="Times New Roman"/>
          <w:bCs/>
          <w:sz w:val="24"/>
          <w:szCs w:val="24"/>
        </w:rPr>
        <w:t xml:space="preserve">). Razvojna agencija PORA KKŽ pružala je stručnu pomoć u provedbi za 2 projekta uspostave Centra kompetentnosti u </w:t>
      </w:r>
      <w:r w:rsidR="004910DB">
        <w:rPr>
          <w:rFonts w:ascii="Times New Roman" w:hAnsi="Times New Roman"/>
          <w:bCs/>
          <w:sz w:val="24"/>
          <w:szCs w:val="24"/>
        </w:rPr>
        <w:t>KKŽ</w:t>
      </w:r>
      <w:r w:rsidRPr="00A07686">
        <w:rPr>
          <w:rFonts w:ascii="Times New Roman" w:hAnsi="Times New Roman"/>
          <w:bCs/>
          <w:sz w:val="24"/>
          <w:szCs w:val="24"/>
        </w:rPr>
        <w:t xml:space="preserve"> sveukupne vrijednosti 8 milijuna eura, 8 projekata izgradnje, dogradnje i rekonstrukcije dječjih vrtića sveukupne vrijednosti 2,8 milijuna eura, 1 projekt kojim se osigurala nova oprema visokom učilištu te 1 projekt izrade projektno-tehničke dokumentacije za izgradnju nove zgrade Srednje škole Koprivnica. Od 12 projekata iz područja unapređenja postojećih i razvoja novih socijalnih usluga na području KKŽ, njih 6 se odnosi na projekte iz II. i III. faze Programa zapošljavanja žena ZAŽELI. Razvoj</w:t>
      </w:r>
      <w:r w:rsidR="00FD2E38" w:rsidRPr="00A07686">
        <w:rPr>
          <w:rFonts w:ascii="Times New Roman" w:hAnsi="Times New Roman"/>
          <w:bCs/>
          <w:sz w:val="24"/>
          <w:szCs w:val="24"/>
        </w:rPr>
        <w:t>n</w:t>
      </w:r>
      <w:r w:rsidRPr="00A07686">
        <w:rPr>
          <w:rFonts w:ascii="Times New Roman" w:hAnsi="Times New Roman"/>
          <w:bCs/>
          <w:sz w:val="24"/>
          <w:szCs w:val="24"/>
        </w:rPr>
        <w:t xml:space="preserve">a agencija PORA KKŽ pružala je stručnu pomoć i za </w:t>
      </w:r>
      <w:r w:rsidRPr="00A07686">
        <w:rPr>
          <w:rFonts w:ascii="Times New Roman" w:hAnsi="Times New Roman"/>
          <w:b/>
          <w:sz w:val="24"/>
          <w:szCs w:val="24"/>
        </w:rPr>
        <w:t>3 projekta</w:t>
      </w:r>
      <w:r w:rsidRPr="00A07686">
        <w:rPr>
          <w:rFonts w:ascii="Times New Roman" w:hAnsi="Times New Roman"/>
          <w:bCs/>
          <w:sz w:val="24"/>
          <w:szCs w:val="24"/>
        </w:rPr>
        <w:t xml:space="preserve"> iz područja unapređenja komunalne infrastrukture sveukupne vrijednosti </w:t>
      </w:r>
      <w:r w:rsidRPr="00A07686">
        <w:rPr>
          <w:rFonts w:ascii="Times New Roman" w:hAnsi="Times New Roman"/>
          <w:b/>
          <w:sz w:val="24"/>
          <w:szCs w:val="24"/>
        </w:rPr>
        <w:t>157 tisuća eura</w:t>
      </w:r>
      <w:r w:rsidRPr="00A07686">
        <w:rPr>
          <w:rFonts w:ascii="Times New Roman" w:hAnsi="Times New Roman"/>
          <w:bCs/>
          <w:sz w:val="24"/>
          <w:szCs w:val="24"/>
        </w:rPr>
        <w:t xml:space="preserve">, </w:t>
      </w:r>
      <w:r w:rsidRPr="00A07686">
        <w:rPr>
          <w:rFonts w:ascii="Times New Roman" w:hAnsi="Times New Roman"/>
          <w:b/>
          <w:sz w:val="24"/>
          <w:szCs w:val="24"/>
        </w:rPr>
        <w:t>10 projekata</w:t>
      </w:r>
      <w:r w:rsidRPr="00A07686">
        <w:rPr>
          <w:rFonts w:ascii="Times New Roman" w:hAnsi="Times New Roman"/>
          <w:bCs/>
          <w:sz w:val="24"/>
          <w:szCs w:val="24"/>
        </w:rPr>
        <w:t xml:space="preserve"> koj</w:t>
      </w:r>
      <w:r w:rsidR="001C2A4E" w:rsidRPr="00A07686">
        <w:rPr>
          <w:rFonts w:ascii="Times New Roman" w:hAnsi="Times New Roman"/>
          <w:bCs/>
          <w:sz w:val="24"/>
          <w:szCs w:val="24"/>
        </w:rPr>
        <w:t>i</w:t>
      </w:r>
      <w:r w:rsidRPr="00A07686">
        <w:rPr>
          <w:rFonts w:ascii="Times New Roman" w:hAnsi="Times New Roman"/>
          <w:bCs/>
          <w:sz w:val="24"/>
          <w:szCs w:val="24"/>
        </w:rPr>
        <w:t xml:space="preserve"> su se provodil</w:t>
      </w:r>
      <w:r w:rsidR="00581053" w:rsidRPr="00A07686">
        <w:rPr>
          <w:rFonts w:ascii="Times New Roman" w:hAnsi="Times New Roman"/>
          <w:bCs/>
          <w:sz w:val="24"/>
          <w:szCs w:val="24"/>
        </w:rPr>
        <w:t>i</w:t>
      </w:r>
      <w:r w:rsidRPr="00A07686">
        <w:rPr>
          <w:rFonts w:ascii="Times New Roman" w:hAnsi="Times New Roman"/>
          <w:bCs/>
          <w:sz w:val="24"/>
          <w:szCs w:val="24"/>
        </w:rPr>
        <w:t xml:space="preserve"> u okviru natječaja LAG PODRAVINA i LAG MURA-DRAVA sveukupne vrijednosti </w:t>
      </w:r>
      <w:r w:rsidRPr="00A07686">
        <w:rPr>
          <w:rFonts w:ascii="Times New Roman" w:hAnsi="Times New Roman"/>
          <w:b/>
          <w:sz w:val="24"/>
          <w:szCs w:val="24"/>
        </w:rPr>
        <w:t>432 tisuće eura</w:t>
      </w:r>
      <w:r w:rsidRPr="00A07686">
        <w:rPr>
          <w:rFonts w:ascii="Times New Roman" w:hAnsi="Times New Roman"/>
          <w:bCs/>
          <w:sz w:val="24"/>
          <w:szCs w:val="24"/>
        </w:rPr>
        <w:t xml:space="preserve">, </w:t>
      </w:r>
      <w:r w:rsidRPr="00A07686">
        <w:rPr>
          <w:rFonts w:ascii="Times New Roman" w:hAnsi="Times New Roman"/>
          <w:b/>
          <w:sz w:val="24"/>
          <w:szCs w:val="24"/>
        </w:rPr>
        <w:t>1 projekt</w:t>
      </w:r>
      <w:r w:rsidRPr="00A07686">
        <w:rPr>
          <w:rFonts w:ascii="Times New Roman" w:hAnsi="Times New Roman"/>
          <w:bCs/>
          <w:sz w:val="24"/>
          <w:szCs w:val="24"/>
        </w:rPr>
        <w:t xml:space="preserve"> izrade projektno-tehničke dokumentacije iz područja zdravstva te </w:t>
      </w:r>
      <w:r w:rsidRPr="00A07686">
        <w:rPr>
          <w:rFonts w:ascii="Times New Roman" w:hAnsi="Times New Roman"/>
          <w:b/>
          <w:sz w:val="24"/>
          <w:szCs w:val="24"/>
        </w:rPr>
        <w:t>2 projekta</w:t>
      </w:r>
      <w:r w:rsidRPr="00A07686">
        <w:rPr>
          <w:rFonts w:ascii="Times New Roman" w:hAnsi="Times New Roman"/>
          <w:bCs/>
          <w:sz w:val="24"/>
          <w:szCs w:val="24"/>
        </w:rPr>
        <w:t xml:space="preserve"> kojima će se unaprijediti svijest stanovništva o važnosti promocije zdravlja i zdravog načina života na području KKŽ, </w:t>
      </w:r>
      <w:r w:rsidRPr="00A07686">
        <w:rPr>
          <w:rFonts w:ascii="Times New Roman" w:hAnsi="Times New Roman"/>
          <w:b/>
          <w:sz w:val="24"/>
          <w:szCs w:val="24"/>
        </w:rPr>
        <w:t>1 projekt</w:t>
      </w:r>
      <w:r w:rsidR="00326688" w:rsidRPr="00A07686">
        <w:rPr>
          <w:rFonts w:ascii="Times New Roman" w:hAnsi="Times New Roman"/>
          <w:bCs/>
          <w:sz w:val="24"/>
          <w:szCs w:val="24"/>
        </w:rPr>
        <w:t xml:space="preserve"> JLS usmjeren na jačanje kompetencija dionika koji djeluju na području </w:t>
      </w:r>
      <w:r w:rsidRPr="00A07686">
        <w:rPr>
          <w:rFonts w:ascii="Times New Roman" w:hAnsi="Times New Roman"/>
          <w:bCs/>
          <w:sz w:val="24"/>
          <w:szCs w:val="24"/>
        </w:rPr>
        <w:t xml:space="preserve">Općine Legrad te </w:t>
      </w:r>
      <w:r w:rsidRPr="00A07686">
        <w:rPr>
          <w:rFonts w:ascii="Times New Roman" w:hAnsi="Times New Roman"/>
          <w:b/>
          <w:sz w:val="24"/>
          <w:szCs w:val="24"/>
        </w:rPr>
        <w:t>1 projekt</w:t>
      </w:r>
      <w:r w:rsidRPr="00A07686">
        <w:rPr>
          <w:rFonts w:ascii="Times New Roman" w:hAnsi="Times New Roman"/>
          <w:bCs/>
          <w:sz w:val="24"/>
          <w:szCs w:val="24"/>
        </w:rPr>
        <w:t xml:space="preserve"> izrade</w:t>
      </w:r>
      <w:r w:rsidRPr="006A2B0F">
        <w:rPr>
          <w:rFonts w:ascii="Times New Roman" w:hAnsi="Times New Roman"/>
          <w:bCs/>
          <w:sz w:val="24"/>
          <w:szCs w:val="24"/>
        </w:rPr>
        <w:t xml:space="preserve"> projektno-tehničke dokumentacije za Centar za posjetitelje u Općini Legrad.</w:t>
      </w:r>
    </w:p>
    <w:p w14:paraId="7F788306" w14:textId="7CE70ECB" w:rsidR="00871F69" w:rsidRPr="00581053" w:rsidRDefault="00871F69" w:rsidP="00871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B0F">
        <w:rPr>
          <w:rFonts w:ascii="Times New Roman" w:hAnsi="Times New Roman"/>
          <w:bCs/>
          <w:sz w:val="24"/>
          <w:szCs w:val="24"/>
        </w:rPr>
        <w:t xml:space="preserve">Stručna pomoć u provedbi pružena je za sveukupno </w:t>
      </w:r>
      <w:r w:rsidRPr="006A2B0F">
        <w:rPr>
          <w:rFonts w:ascii="Times New Roman" w:hAnsi="Times New Roman"/>
          <w:b/>
          <w:sz w:val="24"/>
          <w:szCs w:val="24"/>
        </w:rPr>
        <w:t>24 korisnika</w:t>
      </w:r>
      <w:r w:rsidRPr="006A2B0F">
        <w:rPr>
          <w:rFonts w:ascii="Times New Roman" w:hAnsi="Times New Roman"/>
          <w:bCs/>
          <w:sz w:val="24"/>
          <w:szCs w:val="24"/>
        </w:rPr>
        <w:t xml:space="preserve"> i to jedinice lokalne </w:t>
      </w:r>
      <w:r w:rsidRPr="00581053">
        <w:rPr>
          <w:rFonts w:ascii="Times New Roman" w:hAnsi="Times New Roman"/>
          <w:bCs/>
          <w:sz w:val="24"/>
          <w:szCs w:val="24"/>
        </w:rPr>
        <w:t xml:space="preserve">samouprave, </w:t>
      </w:r>
      <w:r w:rsidR="00326688" w:rsidRPr="00581053">
        <w:rPr>
          <w:rFonts w:ascii="Times New Roman" w:hAnsi="Times New Roman"/>
          <w:bCs/>
          <w:sz w:val="24"/>
          <w:szCs w:val="24"/>
        </w:rPr>
        <w:t>KKŽ</w:t>
      </w:r>
      <w:r w:rsidRPr="00581053">
        <w:rPr>
          <w:rFonts w:ascii="Times New Roman" w:hAnsi="Times New Roman"/>
          <w:bCs/>
          <w:sz w:val="24"/>
          <w:szCs w:val="24"/>
        </w:rPr>
        <w:t xml:space="preserve"> te ostala javnopravna tijela s područja </w:t>
      </w:r>
      <w:r w:rsidR="004910DB">
        <w:rPr>
          <w:rFonts w:ascii="Times New Roman" w:hAnsi="Times New Roman"/>
          <w:bCs/>
          <w:sz w:val="24"/>
          <w:szCs w:val="24"/>
        </w:rPr>
        <w:t>KKŽ</w:t>
      </w:r>
      <w:r w:rsidRPr="00581053">
        <w:rPr>
          <w:rFonts w:ascii="Times New Roman" w:hAnsi="Times New Roman"/>
          <w:bCs/>
          <w:sz w:val="24"/>
          <w:szCs w:val="24"/>
        </w:rPr>
        <w:t>.</w:t>
      </w:r>
    </w:p>
    <w:p w14:paraId="4D4789D2" w14:textId="77777777" w:rsidR="00871F69" w:rsidRDefault="00871F69" w:rsidP="00871F69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4EF14D4D" w14:textId="77777777" w:rsidR="00423482" w:rsidRDefault="00423482" w:rsidP="00871F69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683F5617" w14:textId="77777777" w:rsidR="00423482" w:rsidRDefault="00423482" w:rsidP="00871F69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2354FCC2" w14:textId="77777777" w:rsidR="00423482" w:rsidRDefault="00423482" w:rsidP="00871F69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4250E28A" w14:textId="0268F372" w:rsidR="00871F69" w:rsidRDefault="009965F7" w:rsidP="00871F69">
      <w:pPr>
        <w:pStyle w:val="Heading3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6A2B0F">
        <w:rPr>
          <w:rFonts w:ascii="Times New Roman" w:eastAsia="Calibri" w:hAnsi="Times New Roman" w:cs="Times New Roman"/>
          <w:b/>
          <w:bCs/>
          <w:color w:val="auto"/>
        </w:rPr>
        <w:lastRenderedPageBreak/>
        <w:t>3.2.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2.3. POPIS PROJEKATA 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  <w:u w:val="single"/>
        </w:rPr>
        <w:t>U PRIPREMI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 U KOJIMA JE 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  <w:u w:val="single"/>
        </w:rPr>
        <w:t>RAZVOJNA AGENCIJA PORA KKŽ PRIJAVITELJ I/ILI PARTNER</w:t>
      </w:r>
    </w:p>
    <w:p w14:paraId="51E22DCA" w14:textId="77777777" w:rsidR="00A902B7" w:rsidRDefault="00A902B7" w:rsidP="00A902B7"/>
    <w:p w14:paraId="396FD125" w14:textId="28389C47" w:rsidR="00A902B7" w:rsidRPr="00D03252" w:rsidRDefault="00A902B7" w:rsidP="00D032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>Tablica 17. Popis projekata</w:t>
      </w:r>
    </w:p>
    <w:p w14:paraId="340FAA11" w14:textId="77777777" w:rsidR="00871F69" w:rsidRPr="006A2B0F" w:rsidRDefault="00871F69" w:rsidP="00871F69">
      <w:pPr>
        <w:spacing w:after="0"/>
        <w:rPr>
          <w:sz w:val="8"/>
          <w:szCs w:val="8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1134"/>
        <w:gridCol w:w="848"/>
        <w:gridCol w:w="711"/>
        <w:gridCol w:w="1559"/>
        <w:gridCol w:w="2527"/>
      </w:tblGrid>
      <w:tr w:rsidR="00871F69" w:rsidRPr="006A2B0F" w14:paraId="1A4BAC31" w14:textId="77777777" w:rsidTr="00842341">
        <w:trPr>
          <w:trHeight w:val="53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7FC112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C2B3A9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172C35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BD95D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6629FE6B" w14:textId="14340EB6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UKUPAN IZNOS U EUR</w:t>
            </w:r>
            <w:r w:rsidR="00DD1301"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IMA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4123A3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ULOGA I STATUS RAZVOJNE AGENCIJE PORE KKŽ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A51418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NOSITELJ PROJEKTA</w:t>
            </w:r>
          </w:p>
        </w:tc>
      </w:tr>
      <w:tr w:rsidR="00871F69" w:rsidRPr="006A2B0F" w14:paraId="337ACCD1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986A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08180" w14:textId="77777777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Interreg Europe – SMART4CLUSTERS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4DF7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7ED65D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295B7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partner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63E8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Regionalna uprava Nordhessen GmbH (Njemačka)</w:t>
            </w:r>
          </w:p>
        </w:tc>
      </w:tr>
      <w:tr w:rsidR="00871F69" w:rsidRPr="006A2B0F" w14:paraId="5DE21D49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031E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6A1A3" w14:textId="3CB60D5B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Interreg Europe </w:t>
            </w:r>
            <w:r w:rsidR="001C2A4E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3D1B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04738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919F8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partner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04C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University of Naples Parthenope</w:t>
            </w:r>
          </w:p>
        </w:tc>
      </w:tr>
      <w:tr w:rsidR="00871F69" w:rsidRPr="006A2B0F" w14:paraId="225A0D03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A4EF0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329B9" w14:textId="77777777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Interreg Central Europe – EduEN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848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E4070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792.311,20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ABE1D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partner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C259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Gimnazija „Fran Galović“ Koprivnica</w:t>
            </w:r>
          </w:p>
        </w:tc>
      </w:tr>
      <w:tr w:rsidR="00871F69" w:rsidRPr="006A2B0F" w14:paraId="31C6C0EA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DDB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2B296" w14:textId="257AE45A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Interreg Central Europe </w:t>
            </w:r>
            <w:r w:rsidR="001C2A4E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 xml:space="preserve">ESCALOPE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9CB8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61EC3C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08CBE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partner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431C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Ligursko financijsko društvo za gospodarski razvoj - FI.L.S.E. S.p.A. (Italija)</w:t>
            </w:r>
          </w:p>
        </w:tc>
      </w:tr>
      <w:tr w:rsidR="00871F69" w:rsidRPr="006A2B0F" w14:paraId="1642B788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3A32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605D4" w14:textId="77777777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Interreg Central Europe – </w:t>
            </w: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DASH4SME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A4B8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3FD4F4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971DB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partner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1908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Institut za tehnologiju i poslovanje u České Budějovice (Češka Republika)</w:t>
            </w:r>
          </w:p>
        </w:tc>
      </w:tr>
      <w:tr w:rsidR="00871F69" w:rsidRPr="006A2B0F" w14:paraId="360E4021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7952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0D9B9" w14:textId="1E7BB023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Interreg IPA ADRION </w:t>
            </w:r>
            <w:r w:rsidR="001C2A4E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DIGIFEMME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D53A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F8935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1.499.985,14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F980A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partner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86CA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Općina Egaleo (Grčka)</w:t>
            </w:r>
          </w:p>
        </w:tc>
      </w:tr>
      <w:tr w:rsidR="00871F69" w:rsidRPr="006A2B0F" w14:paraId="12209ACB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0190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BC768" w14:textId="2B9AB794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Interreg IPA ADRION </w:t>
            </w:r>
            <w:r w:rsidR="001C2A4E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SOCPAD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0DAF4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B2AF6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601.440,00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C013A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CA1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Razvojna agencija PORA KKŽ</w:t>
            </w:r>
          </w:p>
        </w:tc>
      </w:tr>
      <w:tr w:rsidR="00871F69" w:rsidRPr="006A2B0F" w14:paraId="1686D25F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F075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91A74" w14:textId="2357C137" w:rsidR="00871F69" w:rsidRPr="006A2B0F" w:rsidRDefault="00871F69" w:rsidP="00842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Interreg IPA ADRION </w:t>
            </w:r>
            <w:r w:rsidR="001C2A4E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BFC – BioFarms Cluster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88E0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9EBEF2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4086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partner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84333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Sveučilište Magna Græcia (Italija)</w:t>
            </w:r>
          </w:p>
        </w:tc>
      </w:tr>
      <w:tr w:rsidR="00871F69" w:rsidRPr="006A2B0F" w14:paraId="5164AB31" w14:textId="77777777" w:rsidTr="0084234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14DF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9EE0D" w14:textId="77777777" w:rsidR="00871F69" w:rsidRPr="006A2B0F" w:rsidRDefault="00871F69" w:rsidP="00842341">
            <w:pPr>
              <w:spacing w:after="0" w:line="240" w:lineRule="auto"/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Prijava na poziv nacionalne mreže zajedničke poljoprivredne politike u 2023. godini (međunarodna konferencija na temu: „Izazovi i prilike za razvoj ruralnih područja“)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0E4E53" w14:textId="085C60AC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Minista</w:t>
            </w:r>
            <w:r w:rsidR="00973B8A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rstvo poljo</w:t>
            </w:r>
            <w:r w:rsidR="003912D1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privrede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DFABAE" w14:textId="77777777" w:rsidR="00871F69" w:rsidRPr="006A2B0F" w:rsidRDefault="00871F69" w:rsidP="0084234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sz w:val="24"/>
                <w:szCs w:val="24"/>
              </w:rPr>
              <w:t>4.455,00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A10C5" w14:textId="77777777" w:rsidR="00871F69" w:rsidRPr="006A2B0F" w:rsidRDefault="00871F69" w:rsidP="00842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2383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Razvojna agencija PORA KKŽ</w:t>
            </w:r>
          </w:p>
        </w:tc>
      </w:tr>
      <w:tr w:rsidR="00871F69" w:rsidRPr="006A2B0F" w14:paraId="22350F3F" w14:textId="77777777" w:rsidTr="00842341">
        <w:trPr>
          <w:trHeight w:val="483"/>
          <w:jc w:val="center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85CA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SVEUKUPNA VRIJEDNOST SVIH PROJEKATA KOJE JE PORA PRIPREMILA, A U KOJIMA JE PRIJAVITELJ I/ILI PARTNER (9):</w:t>
            </w:r>
            <w:r w:rsidRPr="006A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1D6608F" w14:textId="77777777" w:rsidR="00871F69" w:rsidRPr="006A2B0F" w:rsidRDefault="00871F69" w:rsidP="00842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32025" w14:textId="77777777" w:rsidR="00871F69" w:rsidRPr="006A2B0F" w:rsidRDefault="00871F69" w:rsidP="0084234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10.248.191,34 EUR</w:t>
            </w:r>
          </w:p>
        </w:tc>
      </w:tr>
    </w:tbl>
    <w:p w14:paraId="6896BBA0" w14:textId="77777777" w:rsidR="00871F69" w:rsidRPr="006A2B0F" w:rsidRDefault="00871F69" w:rsidP="00871F69">
      <w:pPr>
        <w:spacing w:after="0"/>
        <w:rPr>
          <w:sz w:val="20"/>
          <w:szCs w:val="20"/>
        </w:rPr>
      </w:pPr>
    </w:p>
    <w:p w14:paraId="79A8DDDC" w14:textId="3D0D951F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lastRenderedPageBreak/>
        <w:t xml:space="preserve">Na inicijativu MRRFEU, Razvojna agencija PORA KKŽ kao dio regije Sjeverna Hrvatska sudjelovala je u pripremi i slanju informacija za prijavu na pilot projekt za </w:t>
      </w:r>
      <w:r w:rsidRPr="006A2B0F">
        <w:rPr>
          <w:rFonts w:ascii="Times New Roman" w:hAnsi="Times New Roman" w:cs="Times New Roman"/>
          <w:b/>
          <w:bCs/>
          <w:sz w:val="24"/>
          <w:szCs w:val="24"/>
        </w:rPr>
        <w:t>Tehničku podršku za iskorištavanje talenata u regiji</w:t>
      </w:r>
      <w:r w:rsidRPr="006A2B0F">
        <w:rPr>
          <w:rFonts w:ascii="Times New Roman" w:hAnsi="Times New Roman" w:cs="Times New Roman"/>
          <w:sz w:val="24"/>
          <w:szCs w:val="24"/>
        </w:rPr>
        <w:t>. Prijavu je podnijelo MRRFEU kao predstavnik tri regije: HR02 (Panonske Hrvatske), HR05 (Grada Zagreb</w:t>
      </w:r>
      <w:r w:rsidR="00A44EF3" w:rsidRPr="006A2B0F">
        <w:rPr>
          <w:rFonts w:ascii="Times New Roman" w:hAnsi="Times New Roman" w:cs="Times New Roman"/>
          <w:sz w:val="24"/>
          <w:szCs w:val="24"/>
        </w:rPr>
        <w:t>a</w:t>
      </w:r>
      <w:r w:rsidRPr="006A2B0F">
        <w:rPr>
          <w:rFonts w:ascii="Times New Roman" w:hAnsi="Times New Roman" w:cs="Times New Roman"/>
          <w:sz w:val="24"/>
          <w:szCs w:val="24"/>
        </w:rPr>
        <w:t xml:space="preserve">) i HR06 (Sjeverne Hrvatske), a isti je i odobren u studenom 2023. godine. Svrha ovog pilot projekta je regionalnim i lokalnim </w:t>
      </w:r>
      <w:r w:rsidR="00326688" w:rsidRPr="006A2B0F">
        <w:rPr>
          <w:rFonts w:ascii="Times New Roman" w:hAnsi="Times New Roman" w:cs="Times New Roman"/>
          <w:sz w:val="24"/>
          <w:szCs w:val="24"/>
        </w:rPr>
        <w:t>dionicima</w:t>
      </w:r>
      <w:r w:rsidRPr="006A2B0F">
        <w:rPr>
          <w:rFonts w:ascii="Times New Roman" w:hAnsi="Times New Roman" w:cs="Times New Roman"/>
          <w:sz w:val="24"/>
          <w:szCs w:val="24"/>
        </w:rPr>
        <w:t xml:space="preserve"> pružiti potporu u razvoju okvira za strateško razmišljanje i djelovanje radi rješavanja neiskorištenog potencijala visokoobrazovane radne snage i ublažavanja izazova povezanih s demografskim promjenama i odljevom mozgova</w:t>
      </w:r>
      <w:r w:rsidR="00326688" w:rsidRPr="006A2B0F">
        <w:rPr>
          <w:rFonts w:ascii="Times New Roman" w:hAnsi="Times New Roman" w:cs="Times New Roman"/>
          <w:sz w:val="24"/>
          <w:szCs w:val="24"/>
        </w:rPr>
        <w:t>.</w:t>
      </w:r>
      <w:r w:rsidRPr="006A2B0F">
        <w:rPr>
          <w:rFonts w:ascii="Times New Roman" w:hAnsi="Times New Roman" w:cs="Times New Roman"/>
          <w:sz w:val="24"/>
          <w:szCs w:val="24"/>
        </w:rPr>
        <w:t xml:space="preserve"> Naglasak pilot projekta je na zadržavanju postojećih, ali i razvoju te privlačenju novih talenata, kao i na promicanju suradnje među županijama te funkcionalnoj integraciji pri razvoju mjera i načina njihove provedbe.</w:t>
      </w:r>
    </w:p>
    <w:p w14:paraId="5E5440F9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4D7AA1" w14:textId="7387FC9B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Razvojna agencija PORA KKŽ u suradnji s partnerima s područja KKŽ prijavila je organizaciju i održavanje </w:t>
      </w:r>
      <w:r w:rsidRPr="006A2B0F">
        <w:rPr>
          <w:rFonts w:ascii="Times New Roman" w:hAnsi="Times New Roman" w:cs="Times New Roman"/>
          <w:b/>
          <w:bCs/>
          <w:sz w:val="24"/>
          <w:szCs w:val="24"/>
        </w:rPr>
        <w:t>međunarodne konferencije</w:t>
      </w:r>
      <w:r w:rsidRPr="006A2B0F">
        <w:rPr>
          <w:rFonts w:ascii="Times New Roman" w:hAnsi="Times New Roman" w:cs="Times New Roman"/>
          <w:sz w:val="24"/>
          <w:szCs w:val="24"/>
        </w:rPr>
        <w:t xml:space="preserve"> u iznosu od 4.455,00 </w:t>
      </w:r>
      <w:r w:rsidR="00A60EBE" w:rsidRPr="006A2B0F">
        <w:rPr>
          <w:rFonts w:ascii="Times New Roman" w:hAnsi="Times New Roman" w:cs="Times New Roman"/>
          <w:sz w:val="24"/>
          <w:szCs w:val="24"/>
        </w:rPr>
        <w:t>eura</w:t>
      </w:r>
      <w:r w:rsidRPr="006A2B0F">
        <w:rPr>
          <w:rFonts w:ascii="Times New Roman" w:hAnsi="Times New Roman" w:cs="Times New Roman"/>
          <w:sz w:val="24"/>
          <w:szCs w:val="24"/>
        </w:rPr>
        <w:t xml:space="preserve"> na temu: </w:t>
      </w:r>
      <w:r w:rsidRPr="006A2B0F">
        <w:rPr>
          <w:rFonts w:ascii="Times New Roman" w:hAnsi="Times New Roman" w:cs="Times New Roman"/>
          <w:b/>
          <w:bCs/>
          <w:sz w:val="24"/>
          <w:szCs w:val="24"/>
        </w:rPr>
        <w:t>„Izazovi i prilike za razvoj ruralnih područja“</w:t>
      </w:r>
      <w:r w:rsidRPr="006A2B0F">
        <w:rPr>
          <w:rFonts w:ascii="Times New Roman" w:hAnsi="Times New Roman" w:cs="Times New Roman"/>
          <w:sz w:val="24"/>
          <w:szCs w:val="24"/>
        </w:rPr>
        <w:t xml:space="preserve"> na Poziv za podnošenje prijedloga aktivnosti Nacionalne mreže Zajedničke poljoprivredne politike za 2023. godinu. Konferencija će imati za cilj upoznati sadašnje i buduće poduzetnike, mlade ljude, udruge, znanstveno-istraživački sektor i javni sektor s potencijalima koje im se nude u okviru koncepta „Pametnih sela“. </w:t>
      </w:r>
    </w:p>
    <w:p w14:paraId="70DB5A44" w14:textId="77777777" w:rsidR="00E4074E" w:rsidRPr="006A2B0F" w:rsidRDefault="00E4074E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14AB7" w14:textId="0EDB0553" w:rsidR="00871F69" w:rsidRDefault="009965F7" w:rsidP="00871F69">
      <w:pPr>
        <w:pStyle w:val="Heading3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bookmarkStart w:id="19" w:name="_Toc82430861"/>
      <w:bookmarkStart w:id="20" w:name="_Toc107984272"/>
      <w:r w:rsidRPr="006A2B0F">
        <w:rPr>
          <w:rFonts w:ascii="Times New Roman" w:eastAsia="Calibri" w:hAnsi="Times New Roman" w:cs="Times New Roman"/>
          <w:b/>
          <w:bCs/>
          <w:color w:val="auto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2.4. POPIS PROJEKATA 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  <w:u w:val="single"/>
        </w:rPr>
        <w:t>U PROVEDBI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</w:rPr>
        <w:t xml:space="preserve"> U KOJIMA JE RAZVOJNA AGENCIJA PORA KKŽ </w:t>
      </w:r>
      <w:r w:rsidR="00871F69" w:rsidRPr="006A2B0F">
        <w:rPr>
          <w:rFonts w:ascii="Times New Roman" w:eastAsia="Calibri" w:hAnsi="Times New Roman" w:cs="Times New Roman"/>
          <w:b/>
          <w:bCs/>
          <w:color w:val="auto"/>
          <w:u w:val="single"/>
        </w:rPr>
        <w:t>PRIJAVITELJ I/ILI PARTNER</w:t>
      </w:r>
      <w:bookmarkEnd w:id="19"/>
      <w:bookmarkEnd w:id="20"/>
    </w:p>
    <w:p w14:paraId="40267F0C" w14:textId="77777777" w:rsidR="00A902B7" w:rsidRPr="00A902B7" w:rsidRDefault="00A902B7" w:rsidP="00E4074E">
      <w:pPr>
        <w:spacing w:after="0"/>
      </w:pPr>
    </w:p>
    <w:p w14:paraId="335BFB5D" w14:textId="2220BF9F" w:rsidR="00871F69" w:rsidRPr="00D03252" w:rsidRDefault="00A902B7" w:rsidP="00D032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>Tablica 18. Popis projekata</w:t>
      </w:r>
    </w:p>
    <w:p w14:paraId="6AC6F10E" w14:textId="77777777" w:rsidR="00871F69" w:rsidRPr="006A2B0F" w:rsidRDefault="00871F69" w:rsidP="00871F69">
      <w:pPr>
        <w:spacing w:after="0" w:line="276" w:lineRule="auto"/>
        <w:jc w:val="both"/>
        <w:rPr>
          <w:rFonts w:cs="Times New Roman"/>
          <w:sz w:val="8"/>
          <w:szCs w:val="8"/>
        </w:rPr>
      </w:pPr>
    </w:p>
    <w:tbl>
      <w:tblPr>
        <w:tblW w:w="95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937"/>
        <w:gridCol w:w="1347"/>
        <w:gridCol w:w="420"/>
        <w:gridCol w:w="1291"/>
        <w:gridCol w:w="1427"/>
        <w:gridCol w:w="2467"/>
      </w:tblGrid>
      <w:tr w:rsidR="00871F69" w:rsidRPr="006A2B0F" w14:paraId="24D3D393" w14:textId="77777777" w:rsidTr="00842341">
        <w:trPr>
          <w:trHeight w:val="484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A90D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R.B.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1B9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PROJEKT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5230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FOND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A1FAD2" w14:textId="3E29CB4B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UKUPAN IZNOS U EUR</w:t>
            </w:r>
            <w:r w:rsidR="00DD1301" w:rsidRPr="006A2B0F">
              <w:rPr>
                <w:rFonts w:ascii="Times New Roman" w:eastAsia="Calibri" w:hAnsi="Times New Roman" w:cs="Times New Roman"/>
                <w:b/>
                <w:bCs/>
              </w:rPr>
              <w:t>IMA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F5A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ULOGA I STATUS RAZVOJNE AGENCIJE PORE KKŽ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A7D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NOSITELJ PROJEKTA</w:t>
            </w:r>
          </w:p>
        </w:tc>
      </w:tr>
      <w:tr w:rsidR="00871F69" w:rsidRPr="006A2B0F" w14:paraId="614BE50E" w14:textId="77777777" w:rsidTr="00842341">
        <w:trPr>
          <w:trHeight w:val="561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7A8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7BD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 PORU PO POTPORU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99A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EFRR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37DF92" w14:textId="77777777" w:rsidR="00871F69" w:rsidRPr="006A2B0F" w:rsidRDefault="00871F69" w:rsidP="00842341">
            <w:pPr>
              <w:spacing w:after="0" w:line="240" w:lineRule="auto"/>
              <w:ind w:right="1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2.656.671,02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F0D5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Nositelj projekta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DA8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Razvojna agencija PORA KKŽ</w:t>
            </w:r>
          </w:p>
        </w:tc>
      </w:tr>
      <w:tr w:rsidR="00871F69" w:rsidRPr="006A2B0F" w14:paraId="2C91BC90" w14:textId="77777777" w:rsidTr="00842341">
        <w:trPr>
          <w:trHeight w:val="445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2CC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3D82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EUROPE DIRECT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8A0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Europska Komisija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DE0F3A" w14:textId="77777777" w:rsidR="00871F69" w:rsidRPr="006A2B0F" w:rsidRDefault="00871F69" w:rsidP="00842341">
            <w:pPr>
              <w:spacing w:after="0" w:line="240" w:lineRule="auto"/>
              <w:ind w:right="1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144.402,75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239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Nositelj projekta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846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Razvojna agencija PORA KKŽ</w:t>
            </w:r>
          </w:p>
        </w:tc>
      </w:tr>
      <w:tr w:rsidR="00871F69" w:rsidRPr="006A2B0F" w14:paraId="2FCA362C" w14:textId="77777777" w:rsidTr="00842341">
        <w:trPr>
          <w:trHeight w:val="445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A2E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23EE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TOURBO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466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EFRR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423781" w14:textId="77777777" w:rsidR="00871F69" w:rsidRPr="006A2B0F" w:rsidRDefault="00871F69" w:rsidP="00842341">
            <w:pPr>
              <w:spacing w:after="0" w:line="240" w:lineRule="auto"/>
              <w:ind w:right="1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1.950.000,00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2D2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Projektni partner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EA1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Komora za trgovinu, industriju i plovidbu iz Seville (Španjolska)</w:t>
            </w:r>
          </w:p>
        </w:tc>
      </w:tr>
      <w:tr w:rsidR="00871F69" w:rsidRPr="006A2B0F" w14:paraId="4F157702" w14:textId="77777777" w:rsidTr="00842341">
        <w:trPr>
          <w:trHeight w:val="445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157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799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PARTNERSTVO ZA REGIONALNE INOVACIJE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C66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Europska komisija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92C1DF" w14:textId="4F04C5ED" w:rsidR="00871F69" w:rsidRPr="006A2B0F" w:rsidRDefault="00871F69" w:rsidP="00842341">
            <w:pPr>
              <w:spacing w:after="0" w:line="240" w:lineRule="auto"/>
              <w:ind w:right="1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4EF3"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8165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Projektni partner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E36C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Županije odnosno regionalni koordinatori regije Sjeverna Hrvatska</w:t>
            </w:r>
          </w:p>
        </w:tc>
      </w:tr>
      <w:tr w:rsidR="00871F69" w:rsidRPr="006A2B0F" w14:paraId="66D6806D" w14:textId="77777777" w:rsidTr="00842341">
        <w:trPr>
          <w:trHeight w:val="445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5A3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1606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B Light – suradnja malih i srednjih poduzeća u pograničnom području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AB71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3B791" w14:textId="77777777" w:rsidR="00871F69" w:rsidRPr="006A2B0F" w:rsidRDefault="00871F69" w:rsidP="00842341">
            <w:pPr>
              <w:spacing w:after="0" w:line="240" w:lineRule="auto"/>
              <w:ind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(12.453.015,13)</w:t>
            </w:r>
          </w:p>
          <w:p w14:paraId="05E5DAEB" w14:textId="77777777" w:rsidR="00871F69" w:rsidRPr="006A2B0F" w:rsidRDefault="00871F69" w:rsidP="00842341">
            <w:pPr>
              <w:spacing w:after="0" w:line="240" w:lineRule="auto"/>
              <w:ind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201.420,05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276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Projektni partner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D04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HAMAG BICRO</w:t>
            </w:r>
          </w:p>
          <w:p w14:paraId="1E52BAD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Hrvatska agencija za malo gospodarstvo, inovacije i investicije</w:t>
            </w:r>
          </w:p>
        </w:tc>
      </w:tr>
      <w:tr w:rsidR="00871F69" w:rsidRPr="006A2B0F" w14:paraId="3C4BE1AB" w14:textId="77777777" w:rsidTr="00842341">
        <w:trPr>
          <w:trHeight w:val="924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C9E3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SVEUKUPNA VRIJEDNOST SVIH PROJEKATA KOJE PORA PROVODI (</w:t>
            </w: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A2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  <w:r w:rsidRPr="006A2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892DFB5" w14:textId="77777777" w:rsidR="00871F69" w:rsidRPr="006A2B0F" w:rsidRDefault="00871F69" w:rsidP="00842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9265" w14:textId="478BB1AF" w:rsidR="00871F69" w:rsidRPr="006A2B0F" w:rsidRDefault="00871F69" w:rsidP="004E1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4.952.493,82 EUR</w:t>
            </w:r>
          </w:p>
        </w:tc>
      </w:tr>
    </w:tbl>
    <w:p w14:paraId="461D20B5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</w:p>
    <w:p w14:paraId="4A8F370B" w14:textId="77777777" w:rsidR="00423482" w:rsidRDefault="00423482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667C9372" w14:textId="48BE60AA" w:rsidR="00871F69" w:rsidRPr="006A2B0F" w:rsidRDefault="009965F7" w:rsidP="00871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A2B0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3.2.2.4.1. </w:t>
      </w:r>
      <w:r w:rsidR="00871F69" w:rsidRPr="006A2B0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PROJEKT „UZ PORU PO POTPORU“</w:t>
      </w:r>
    </w:p>
    <w:p w14:paraId="5431787F" w14:textId="57BF8C9B" w:rsidR="00871F69" w:rsidRPr="006A2B0F" w:rsidRDefault="00871F69" w:rsidP="0087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A2B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Projekt predstavlja direktan nastavak dosadašnjeg rada Razvojne agencije PORE KKŽ kao regionalnog koordinatora, a osnovne aktivnosti se odnose na stručnu pomoć u pripremi i provedbi razvojnih projekata jedinicama lokalne i regionalne samouprave i ostalim javnopravnim tijelima s područja </w:t>
      </w:r>
      <w:r w:rsidR="004910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KKŽ</w:t>
      </w:r>
      <w:r w:rsidRPr="006A2B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zatim na strateško planiranje i regionalni razvoj, na edukativne aktivnosti organizirane za jedinice lokalne i regionalne samouprave i ostala javnopravna tijela s područja </w:t>
      </w:r>
      <w:r w:rsidR="004910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KKŽ</w:t>
      </w:r>
      <w:r w:rsidRPr="006A2B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na održavanje informativnih radionica i predavanja za potencijalne korisnike EU fondova s područja </w:t>
      </w:r>
      <w:r w:rsidR="004910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KKŽ</w:t>
      </w:r>
      <w:r w:rsidRPr="006A2B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 na jačanje kapaciteta zaposlenika regionalnog koordinatora Razvojne agencije PORE KKŽ.</w:t>
      </w:r>
    </w:p>
    <w:p w14:paraId="08E87230" w14:textId="77777777" w:rsidR="00871F69" w:rsidRPr="006A2B0F" w:rsidRDefault="00871F69" w:rsidP="0087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A2B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Projekt obuhvaća razdoblje od 57 mjeseci (01. travnja 2019. - 31. prosinca 2023.) tijekom kojih se financira rad i poslovanje Razvojne agencije PORE KKŽ, a ukupna vrijednost projekta je  </w:t>
      </w:r>
      <w:r w:rsidRPr="006A2B0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2.656.671,02 eura</w:t>
      </w:r>
      <w:r w:rsidRPr="006A2B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58714AF1" w14:textId="20EEA3AA" w:rsidR="00871F69" w:rsidRPr="006A2B0F" w:rsidRDefault="00871F69" w:rsidP="0087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U 2023. godini  proveden je niz aktivnosti vezanih uz informativne radionice, prezentacije i edukacije za javnopravna tijela s područja </w:t>
      </w:r>
      <w:r w:rsidR="004910DB">
        <w:rPr>
          <w:rFonts w:ascii="Times New Roman" w:eastAsia="Calibri" w:hAnsi="Times New Roman" w:cs="Times New Roman"/>
          <w:sz w:val="24"/>
          <w:szCs w:val="24"/>
        </w:rPr>
        <w:t>KKŽ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. Također je </w:t>
      </w:r>
      <w:r w:rsidRPr="006A2B0F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i Završna konferencija projekta. U okviru navedenog projekta, Razvojna agencija PORA KKŽ je tijekom 2023. pružila </w:t>
      </w:r>
      <w:r w:rsidRPr="006A2B0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stručnu pomoć </w:t>
      </w:r>
      <w:r w:rsidRPr="006A2B0F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u pripremi</w:t>
      </w:r>
      <w:r w:rsidRPr="006A2B0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ukupno 28 projekata za 13 korisnika iz KKŽ sveukupne vrijednosti 29,2 milijuna eura, kao i stručnu pomoć tijekom </w:t>
      </w:r>
      <w:r w:rsidRPr="006A2B0F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provedbe</w:t>
      </w:r>
      <w:r w:rsidRPr="006A2B0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projekata - njih 42 za ukupno 24 korisnika iz KKŽ sveukupne vrijednosti 17,5 milijuna eura.</w:t>
      </w:r>
    </w:p>
    <w:p w14:paraId="6A1BFB6C" w14:textId="4685D3AF" w:rsidR="00871F69" w:rsidRPr="006A2B0F" w:rsidRDefault="009965F7" w:rsidP="0087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2B0F">
        <w:rPr>
          <w:rFonts w:ascii="Times New Roman" w:hAnsi="Times New Roman" w:cs="Times New Roman"/>
          <w:b/>
          <w:bCs/>
          <w:sz w:val="24"/>
          <w:szCs w:val="24"/>
        </w:rPr>
        <w:t xml:space="preserve">3.2.2.4.2. </w:t>
      </w:r>
      <w:r w:rsidR="00871F69" w:rsidRPr="006A2B0F">
        <w:rPr>
          <w:rFonts w:ascii="Times New Roman" w:hAnsi="Times New Roman" w:cs="Times New Roman"/>
          <w:b/>
          <w:bCs/>
          <w:sz w:val="24"/>
          <w:szCs w:val="24"/>
        </w:rPr>
        <w:t xml:space="preserve">PROJEKT „EUROPE DIRECT CENTAR KOPRIVNIČKO-KRIŽEVAČKE ŽUPANIJE“ </w:t>
      </w:r>
    </w:p>
    <w:p w14:paraId="4E894B2E" w14:textId="4422AE5F" w:rsidR="00871F69" w:rsidRPr="006A2B0F" w:rsidRDefault="00871F69" w:rsidP="00871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A2B0F">
        <w:rPr>
          <w:bCs/>
        </w:rPr>
        <w:t xml:space="preserve">Projekt Europe Direct centra Koprivničko-križevačke županije nastavlja se s provedbom i u 2023. godini. Tijekom godine odrađen je niz aktivnosti usmjerenih ustanovama i institucijama, te civilnom i privatnom sektoru s područja </w:t>
      </w:r>
      <w:r w:rsidR="004910DB">
        <w:rPr>
          <w:bCs/>
        </w:rPr>
        <w:t>KKŽ</w:t>
      </w:r>
      <w:r w:rsidRPr="006A2B0F">
        <w:rPr>
          <w:bCs/>
        </w:rPr>
        <w:t>. E</w:t>
      </w:r>
      <w:r w:rsidR="00A677DE">
        <w:rPr>
          <w:bCs/>
        </w:rPr>
        <w:t>urope Direct</w:t>
      </w:r>
      <w:r w:rsidRPr="006A2B0F">
        <w:rPr>
          <w:bCs/>
        </w:rPr>
        <w:t xml:space="preserve"> Koprivničko-križevačke županije sudjelovao je u organizaciji odnosno suorganizaciji sveukupno 11 događanja od kojih izdvajamo </w:t>
      </w:r>
      <w:r w:rsidRPr="006A2B0F">
        <w:t xml:space="preserve">informativne radionice </w:t>
      </w:r>
      <w:r w:rsidRPr="006A2B0F">
        <w:rPr>
          <w:shd w:val="clear" w:color="auto" w:fill="FFFFFF"/>
        </w:rPr>
        <w:t xml:space="preserve"> na teme „Zakon o zaštiti potrošača s naglaskom na on-line shopping“</w:t>
      </w:r>
      <w:r w:rsidRPr="006A2B0F">
        <w:rPr>
          <w:bCs/>
        </w:rPr>
        <w:t xml:space="preserve">, </w:t>
      </w:r>
      <w:r w:rsidRPr="006A2B0F">
        <w:t>„Vaučeri za obrazovanje zaposlenih i nezaposlenih osoba</w:t>
      </w:r>
      <w:r w:rsidR="00C35BCB" w:rsidRPr="006A2B0F">
        <w:t>“</w:t>
      </w:r>
      <w:r w:rsidRPr="006A2B0F">
        <w:t>, zatim predstavljanje programa Unije Kreativna Europa – potprogram Kultura i CERV – Građani, jednakost, prava i vrijednosti, obilježavanje Europskog tjedna održavanjem izložbe „50 godina Irske u EU“, organizacija likovne radionice za osnovnoškolsku djecu pod nazivom „Nacrtaj EU projekt“, sudjelovanje na nekoliko manifestacija u okviru obilježavanja Dana otvorenih vrata obrazovnih institucija na području županije te također organizacija posjeta predstavnika Europe Direct centra KKŽ zajedno s učenicima 4. razreda Gimnazije Dr. Ivana Kranjčeva iz Đurđevca Hrvatskom saboru i Kući Europe u Zagrebu.</w:t>
      </w:r>
    </w:p>
    <w:p w14:paraId="5B4814E9" w14:textId="0FF299C5" w:rsidR="00871F69" w:rsidRPr="006A2B0F" w:rsidRDefault="009965F7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39286724"/>
      <w:r w:rsidRPr="006A2B0F">
        <w:rPr>
          <w:rFonts w:ascii="Times New Roman" w:hAnsi="Times New Roman" w:cs="Times New Roman"/>
          <w:b/>
          <w:bCs/>
          <w:sz w:val="24"/>
          <w:szCs w:val="24"/>
        </w:rPr>
        <w:t xml:space="preserve">3.2.2.4.3. </w:t>
      </w:r>
      <w:r w:rsidR="00871F69" w:rsidRPr="006A2B0F">
        <w:rPr>
          <w:rFonts w:ascii="Times New Roman" w:hAnsi="Times New Roman" w:cs="Times New Roman"/>
          <w:b/>
          <w:bCs/>
          <w:sz w:val="24"/>
          <w:szCs w:val="24"/>
        </w:rPr>
        <w:t>PILOT PROJEKT „PARTNERSTVO ZA REGIONALNE INOVACIJE“</w:t>
      </w:r>
    </w:p>
    <w:bookmarkEnd w:id="21"/>
    <w:p w14:paraId="77570FAC" w14:textId="19B259E5" w:rsidR="00871F69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>Razvojna agencija PORA KKŽ u suradnji s KKŽ i razvojnim agencijama s područja Međimurske, Varaždinske, Krapinsko-zagorske i Zagrebačke županije sudjelovala je u provedbi projekta „Partnerstvo za regionalne inovacije“ (PRI) koji zajednički provode COR (Odbor regija) i JRC (Zajednički istraživački centar Europske komisije).</w:t>
      </w:r>
      <w:r w:rsidRPr="006A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B0F">
        <w:rPr>
          <w:rFonts w:ascii="Times New Roman" w:hAnsi="Times New Roman" w:cs="Times New Roman"/>
          <w:sz w:val="24"/>
          <w:szCs w:val="24"/>
        </w:rPr>
        <w:t xml:space="preserve">Cilj ovog jednogodišnjeg projekta je razmijeniti iskustva i primjere dobre prakse s ostalim europskim regijama, usvojiti nova znanja te doprinijeti uspješnijoj transformaciji gospodarstva </w:t>
      </w:r>
      <w:r w:rsidR="00326688" w:rsidRPr="006A2B0F">
        <w:rPr>
          <w:rFonts w:ascii="Times New Roman" w:hAnsi="Times New Roman" w:cs="Times New Roman"/>
          <w:sz w:val="24"/>
          <w:szCs w:val="24"/>
        </w:rPr>
        <w:t>navedenih županija</w:t>
      </w:r>
      <w:r w:rsidRPr="006A2B0F">
        <w:rPr>
          <w:rFonts w:ascii="Times New Roman" w:hAnsi="Times New Roman" w:cs="Times New Roman"/>
          <w:sz w:val="24"/>
          <w:szCs w:val="24"/>
        </w:rPr>
        <w:t>, kao i potaknuti istraživanja i razvoj te inovacije i nova ulaganja. U 2023. održan je 1 on-line plenarni sastanak, 1 događaj na visokoj razini Partnerstva za regionalne inovacije „Od priručnika do provedbe” kao most između pametne specijalizacije i drugih politika EU-a za promicanje teritorijalne transformacije potaknute inovacijama te 1 on-line interni sastanak projektnih partnera. Pilot projekt je završio s provedbom 30. lipnja 2023. godine.</w:t>
      </w:r>
    </w:p>
    <w:p w14:paraId="4B2EE2EF" w14:textId="77777777" w:rsidR="0083672C" w:rsidRDefault="0083672C" w:rsidP="00871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0BF9" w14:textId="77777777" w:rsidR="00423482" w:rsidRDefault="00423482" w:rsidP="00871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99073" w14:textId="77777777" w:rsidR="00423482" w:rsidRDefault="00423482" w:rsidP="00871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4F93D" w14:textId="77777777" w:rsidR="00423482" w:rsidRDefault="00423482" w:rsidP="00871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47DA9" w14:textId="77777777" w:rsidR="00423482" w:rsidRPr="006A2B0F" w:rsidRDefault="00423482" w:rsidP="00871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1424D" w14:textId="344EF481" w:rsidR="00871F69" w:rsidRPr="00D03252" w:rsidRDefault="0083672C" w:rsidP="00871F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Tablica </w:t>
      </w:r>
      <w:r w:rsidR="00D84FE0" w:rsidRPr="00D03252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D03252">
        <w:rPr>
          <w:rFonts w:ascii="Times New Roman" w:hAnsi="Times New Roman" w:cs="Times New Roman"/>
          <w:i/>
          <w:iCs/>
          <w:sz w:val="24"/>
          <w:szCs w:val="24"/>
        </w:rPr>
        <w:t>. Pokazatelji uspješnosti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1609"/>
      </w:tblGrid>
      <w:tr w:rsidR="00871F69" w:rsidRPr="006A2B0F" w14:paraId="7F8CE072" w14:textId="77777777" w:rsidTr="0084234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5977E3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Pokazatelji uspješnosti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59193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Jed. mjere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29B723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Polazna vrijednost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63973A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Ciljana vrijednost</w:t>
            </w:r>
          </w:p>
          <w:p w14:paraId="77AD59E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2023.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5F820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Realizirano 01.01.-31.12.</w:t>
            </w:r>
          </w:p>
          <w:p w14:paraId="7B0B6775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</w:rPr>
              <w:t>2023.</w:t>
            </w:r>
          </w:p>
        </w:tc>
      </w:tr>
      <w:tr w:rsidR="00871F69" w:rsidRPr="006A2B0F" w14:paraId="073B5A69" w14:textId="77777777" w:rsidTr="0084234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9D0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Provedeni novi razvojni projekti financirani iz EU i ostalih izvora (i u postupku provedbe)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F8E7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5AD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ECEF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538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1F69" w:rsidRPr="006A2B0F" w14:paraId="33F112DE" w14:textId="77777777" w:rsidTr="0084234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304F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</w:rPr>
              <w:t>Stručna pomoć u pripremi i provedbi razvojnih projekata za interes KKŽ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0916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6849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8373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9ED4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  <w:r w:rsidRPr="006A2B0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871F69" w:rsidRPr="006A2B0F" w14:paraId="07B046D1" w14:textId="77777777" w:rsidTr="00842341">
        <w:trPr>
          <w:trHeight w:val="11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9F0C" w14:textId="77777777" w:rsidR="00871F69" w:rsidRPr="006A2B0F" w:rsidRDefault="00871F69" w:rsidP="008423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Informativne aktivnosti (organizirane prezentacije, radionice i edukacije za pripremu i provedbu EU projekata)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656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01CB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B47E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E42" w14:textId="77777777" w:rsidR="00871F69" w:rsidRPr="006A2B0F" w:rsidRDefault="00871F69" w:rsidP="00842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A2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14:paraId="4158A40A" w14:textId="77777777" w:rsidR="00E4074E" w:rsidRDefault="00E4074E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6A3AA499" w14:textId="08124E75" w:rsidR="00871F69" w:rsidRPr="006A2B0F" w:rsidRDefault="009965F7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3. AKTIVNOST K100014 NABAVA OPREMA ZA RAZVOJNU AGENCIJU </w:t>
      </w:r>
    </w:p>
    <w:p w14:paraId="66C95ECA" w14:textId="77777777" w:rsidR="00871F69" w:rsidRPr="006A2B0F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6466A16" w14:textId="77777777" w:rsidR="00871F69" w:rsidRPr="006A2B0F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Tijekom  2023. godine u okviru ove aktivnosti nije izvršena nabava opreme jer je sve potrebno nabavljeno iz EU sredstava.</w:t>
      </w:r>
    </w:p>
    <w:p w14:paraId="6660ADC0" w14:textId="77777777" w:rsidR="00871F69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5F67DD6" w14:textId="6A175243" w:rsidR="00871F69" w:rsidRPr="00D03252" w:rsidRDefault="00871F69" w:rsidP="00871F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D84FE0" w:rsidRPr="00D0325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D03252">
        <w:rPr>
          <w:rFonts w:ascii="Times New Roman" w:hAnsi="Times New Roman" w:cs="Times New Roman"/>
          <w:i/>
          <w:iCs/>
          <w:sz w:val="24"/>
          <w:szCs w:val="24"/>
        </w:rPr>
        <w:t>. Pokazatelji uspješnosti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1696"/>
        <w:gridCol w:w="1796"/>
      </w:tblGrid>
      <w:tr w:rsidR="00871F69" w:rsidRPr="0083672C" w14:paraId="484B6582" w14:textId="77777777" w:rsidTr="008423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464179" w14:textId="77777777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Pokazatelji uspješnosti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4AAAC8" w14:textId="77777777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867CD2" w14:textId="77777777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Polazna vrijednost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6F46AE" w14:textId="54084EFF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Ciljana vrijednost 202</w:t>
            </w:r>
            <w:r w:rsidR="008B6115"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F73225" w14:textId="23741BA9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Realizirano 01.01.-31.12. 202</w:t>
            </w:r>
            <w:r w:rsidR="008B6115"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</w:tr>
      <w:tr w:rsidR="00871F69" w:rsidRPr="0083672C" w14:paraId="69A67BD9" w14:textId="77777777" w:rsidTr="008423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06EE" w14:textId="77777777" w:rsidR="00871F69" w:rsidRPr="0083672C" w:rsidRDefault="00871F69" w:rsidP="008423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Nabavljena ostala uredska oprema i namještaj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9A67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EE6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7136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EE6D" w14:textId="6903FED9" w:rsidR="00871F69" w:rsidRPr="0083672C" w:rsidRDefault="008B6115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871F69" w:rsidRPr="0083672C" w14:paraId="40B79A89" w14:textId="77777777" w:rsidTr="008423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323" w14:textId="77777777" w:rsidR="00871F69" w:rsidRPr="0083672C" w:rsidRDefault="00871F69" w:rsidP="008423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Nabavljeni uređaji za ostale namjene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07E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1641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557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509D" w14:textId="605ABA27" w:rsidR="00871F69" w:rsidRPr="0083672C" w:rsidRDefault="008B6115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</w:tbl>
    <w:p w14:paraId="5EB04B37" w14:textId="77777777" w:rsidR="00871F69" w:rsidRPr="006A2B0F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C4267D4" w14:textId="2DD03269" w:rsidR="00871F69" w:rsidRPr="006A2B0F" w:rsidRDefault="009965F7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4. AKTIVNOST K100099 NABAVA OPREME ZA RAZVOJNU AGENCIJU – EU PROJEKTI</w:t>
      </w:r>
    </w:p>
    <w:p w14:paraId="0A960A9C" w14:textId="77777777" w:rsidR="00871F69" w:rsidRPr="006A2B0F" w:rsidRDefault="00871F69" w:rsidP="00871F69">
      <w:pPr>
        <w:pStyle w:val="ListParagraph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921A6F0" w14:textId="5D04ED66" w:rsidR="00871F69" w:rsidRPr="006A2B0F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U okviru ove aktivnosti izvršena je nabava tri licence,</w:t>
      </w:r>
      <w:r w:rsidR="008B611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multifunkcionalnog uređaja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 uredskog namještaja (22 uredske stolice, dva uredska stola, tri uredska ormara, četiri pokretna ladičara) u okviru projekta „UZ PORU PO POTPORU“</w:t>
      </w:r>
    </w:p>
    <w:p w14:paraId="5B0E1BBA" w14:textId="77777777" w:rsidR="00871F69" w:rsidRPr="006A2B0F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74AA6E8" w14:textId="56592BA9" w:rsidR="00871F69" w:rsidRPr="00D03252" w:rsidRDefault="00871F69" w:rsidP="00871F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252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D84FE0" w:rsidRPr="00D03252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D03252">
        <w:rPr>
          <w:rFonts w:ascii="Times New Roman" w:hAnsi="Times New Roman" w:cs="Times New Roman"/>
          <w:i/>
          <w:iCs/>
          <w:sz w:val="24"/>
          <w:szCs w:val="24"/>
        </w:rPr>
        <w:t>. Pokazatelji uspješnosti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1696"/>
        <w:gridCol w:w="1796"/>
      </w:tblGrid>
      <w:tr w:rsidR="00871F69" w:rsidRPr="0083672C" w14:paraId="57C09367" w14:textId="77777777" w:rsidTr="008423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F1E12F" w14:textId="77777777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Pokazatelji uspješnosti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5885D0" w14:textId="77777777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12702E" w14:textId="77777777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Polazna vrijednost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46652AC" w14:textId="6CC06D24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Ciljana vrijednost 202</w:t>
            </w:r>
            <w:r w:rsidR="008B6115"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7E9902" w14:textId="6EE34979" w:rsidR="00871F69" w:rsidRPr="0083672C" w:rsidRDefault="00871F69" w:rsidP="00842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Realizirano 01.01.-31.12. 202</w:t>
            </w:r>
            <w:r w:rsidR="008B6115"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836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</w:tr>
      <w:tr w:rsidR="00871F69" w:rsidRPr="0083672C" w14:paraId="20EDD69E" w14:textId="77777777" w:rsidTr="008423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C0AB" w14:textId="77777777" w:rsidR="00871F69" w:rsidRPr="0083672C" w:rsidRDefault="00871F69" w:rsidP="008423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Nabavljene nove licence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2953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40C0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D94C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064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871F69" w:rsidRPr="0083672C" w14:paraId="68703727" w14:textId="77777777" w:rsidTr="008423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4084" w14:textId="77777777" w:rsidR="00871F69" w:rsidRPr="0083672C" w:rsidRDefault="00871F69" w:rsidP="008423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Nabavljena nova uredska oprema i namještaj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EEFA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E3A8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812B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1FFF" w14:textId="77777777" w:rsidR="00871F69" w:rsidRPr="0083672C" w:rsidRDefault="00871F69" w:rsidP="00842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7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</w:tr>
    </w:tbl>
    <w:p w14:paraId="3400B1E1" w14:textId="77777777" w:rsidR="00871F69" w:rsidRPr="006A2B0F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9B4CEFF" w14:textId="2ED3CE64" w:rsidR="00871F69" w:rsidRPr="006A2B0F" w:rsidRDefault="009965F7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3.2.</w:t>
      </w:r>
      <w:r w:rsidR="00871F69"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5. KORIŠTENJ</w:t>
      </w:r>
      <w:r w:rsidR="00807BF1"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E</w:t>
      </w:r>
      <w:r w:rsidR="00871F69" w:rsidRPr="006A2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FONDOVA EUROPSKE UNIJE</w:t>
      </w:r>
    </w:p>
    <w:p w14:paraId="4875C056" w14:textId="77777777" w:rsidR="00871F69" w:rsidRPr="006A2B0F" w:rsidRDefault="00871F69" w:rsidP="00871F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86089D1" w14:textId="46A5D653" w:rsidR="00871F69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Specifičnost poslovanja Razvojne agencije PORE KKŽ  je u tome što se najvećim dijelom sufinancira iz sredstava EU.  Temeljem Pravilnika o proračunskom računovodstvu i računskom planu, primjenjuje se modificirano načela poslovnog događaja što znači da se rashodi priznaju u trenutku nastanka, a prihodi se priznaju tek kada su naplaćeni, tako da dolazi do potrebe predfinanciranja provedbe EU projekata od strane </w:t>
      </w:r>
      <w:r w:rsidR="004910DB">
        <w:rPr>
          <w:rFonts w:ascii="Times New Roman" w:eastAsia="Calibri" w:hAnsi="Times New Roman" w:cs="Times New Roman"/>
          <w:sz w:val="24"/>
          <w:szCs w:val="24"/>
          <w:lang w:eastAsia="ar-SA"/>
        </w:rPr>
        <w:t>KKŽ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Od ostvarenih 720.666,94 eura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rashoda, 564.885,80 eura ili 78,38% ostvarenih rashoda su iz provedbe aktivnosti po EU projektima (odnosno 83.</w:t>
      </w:r>
      <w:r w:rsidR="0017662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88,34 eura predstavlja sufinanciranje iz Proračuna </w:t>
      </w:r>
      <w:r w:rsidR="004910DB">
        <w:rPr>
          <w:rFonts w:ascii="Times New Roman" w:eastAsia="Calibri" w:hAnsi="Times New Roman" w:cs="Times New Roman"/>
          <w:sz w:val="24"/>
          <w:szCs w:val="24"/>
          <w:lang w:eastAsia="ar-SA"/>
        </w:rPr>
        <w:t>KKŽ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dok su 480.897,16 eura sredstva iz fondova EU). Iz toga proizlazi da se ukupno poslovanje Razvojne agencije PORE KKŽ financira iz EU sredstava u iznosu od 66,73%.</w:t>
      </w:r>
    </w:p>
    <w:p w14:paraId="2BBD279A" w14:textId="77777777" w:rsidR="002D6606" w:rsidRDefault="002D6606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7B2B47" w14:textId="3240C55F" w:rsidR="002D6606" w:rsidRPr="00D03252" w:rsidRDefault="002D6606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D03252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Tablica 22. </w:t>
      </w:r>
      <w:r w:rsidR="0083672C" w:rsidRPr="00D03252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Planirani i ostvareni rashodi po EU projektima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1892"/>
        <w:gridCol w:w="1651"/>
        <w:gridCol w:w="1134"/>
      </w:tblGrid>
      <w:tr w:rsidR="00871F69" w:rsidRPr="002D6606" w14:paraId="131DBD57" w14:textId="77777777" w:rsidTr="002D66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5C94C6" w14:textId="5D2E9A4F" w:rsidR="00871F69" w:rsidRPr="002D6606" w:rsidRDefault="002D6606" w:rsidP="002D660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Rashodi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C4577C" w14:textId="77777777" w:rsidR="00871F69" w:rsidRPr="002D6606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Planirano u 2023.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5CE4B9" w14:textId="77777777" w:rsidR="00871F69" w:rsidRPr="002D6606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Izvršeno u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BF5B48" w14:textId="77777777" w:rsidR="00871F69" w:rsidRPr="002D6606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Indeks</w:t>
            </w:r>
          </w:p>
        </w:tc>
      </w:tr>
      <w:tr w:rsidR="00871F69" w:rsidRPr="006A2B0F" w14:paraId="3D066A0F" w14:textId="77777777" w:rsidTr="0084234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6075" w14:textId="77777777" w:rsidR="00871F69" w:rsidRPr="006A2B0F" w:rsidRDefault="00871F69" w:rsidP="0084234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Aktivnost A100153 EU PROJEKTI - PORA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6F00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706.843,00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2EA4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551.402,80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02AD" w14:textId="77777777" w:rsidR="00871F69" w:rsidRPr="006A2B0F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75,20%</w:t>
            </w:r>
          </w:p>
        </w:tc>
      </w:tr>
      <w:tr w:rsidR="00871F69" w:rsidRPr="006A2B0F" w14:paraId="61DF6A32" w14:textId="77777777" w:rsidTr="0084234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98AB" w14:textId="77777777" w:rsidR="00871F69" w:rsidRPr="006A2B0F" w:rsidRDefault="00871F69" w:rsidP="0084234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Aktivnost K100099 EU PROJEKTI - PORA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9C14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17.930,00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1CE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13.482,70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1CF3" w14:textId="77777777" w:rsidR="00871F69" w:rsidRPr="006A2B0F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78,01%</w:t>
            </w:r>
          </w:p>
        </w:tc>
      </w:tr>
      <w:tr w:rsidR="00871F69" w:rsidRPr="006A2B0F" w14:paraId="0A62232C" w14:textId="77777777" w:rsidTr="0084234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EAC9" w14:textId="77777777" w:rsidR="00871F69" w:rsidRPr="006A2B0F" w:rsidRDefault="00871F69" w:rsidP="008423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UKUPNO: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0D11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724.773,00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1C2C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564.885,50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30A" w14:textId="77777777" w:rsidR="00871F69" w:rsidRPr="006A2B0F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14:paraId="56B471A1" w14:textId="77777777" w:rsidR="001666DB" w:rsidRDefault="001666DB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0744F2" w14:textId="16A1C2A2" w:rsidR="00871F69" w:rsidRDefault="00871F69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B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Tijekom 2023. godine </w:t>
      </w:r>
      <w:r w:rsidR="00832B28" w:rsidRPr="00832B28">
        <w:rPr>
          <w:rFonts w:ascii="Times New Roman" w:eastAsia="Calibri" w:hAnsi="Times New Roman" w:cs="Times New Roman"/>
          <w:sz w:val="24"/>
          <w:szCs w:val="24"/>
          <w:lang w:eastAsia="ar-SA"/>
        </w:rPr>
        <w:t>Razvojna agencija PORA KKŽ</w:t>
      </w:r>
      <w:r w:rsidRPr="00832B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ostvarila je od EU ukupno 423.352,42 eura prihoda, što čini 68,86% ukupno ostvarenih prihoda.</w:t>
      </w:r>
    </w:p>
    <w:p w14:paraId="3AAC176E" w14:textId="77777777" w:rsidR="0083672C" w:rsidRDefault="0083672C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F86346" w14:textId="69A56BD5" w:rsidR="0083672C" w:rsidRPr="00D03252" w:rsidRDefault="0083672C" w:rsidP="00871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D03252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Tablica 23. Planirani i ostvareni prihodi po EU projektima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28"/>
        <w:gridCol w:w="1831"/>
        <w:gridCol w:w="1832"/>
        <w:gridCol w:w="1076"/>
      </w:tblGrid>
      <w:tr w:rsidR="00871F69" w:rsidRPr="002D6606" w14:paraId="67B49BE4" w14:textId="77777777" w:rsidTr="002D660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C2A9A4" w14:textId="447D7E8E" w:rsidR="00871F69" w:rsidRPr="002D6606" w:rsidRDefault="002D6606" w:rsidP="002D660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Prihodi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F2B38B" w14:textId="77777777" w:rsidR="00871F69" w:rsidRPr="002D6606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Planirano u 2023.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DED9D4" w14:textId="77777777" w:rsidR="00871F69" w:rsidRPr="002D6606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Izvršeno u 2023.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575715" w14:textId="77777777" w:rsidR="00871F69" w:rsidRPr="002D6606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2D6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Indeks</w:t>
            </w:r>
          </w:p>
        </w:tc>
      </w:tr>
      <w:tr w:rsidR="00871F69" w:rsidRPr="006A2B0F" w14:paraId="56260D52" w14:textId="77777777" w:rsidTr="0084234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CD0" w14:textId="77777777" w:rsidR="00871F69" w:rsidRPr="006A2B0F" w:rsidRDefault="00871F69" w:rsidP="0084234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Tekuće pomoći od institucija i tijela EU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903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36.255,00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3CC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64.133,42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AEAE" w14:textId="77777777" w:rsidR="00871F69" w:rsidRPr="006A2B0F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176,90%</w:t>
            </w:r>
          </w:p>
        </w:tc>
      </w:tr>
      <w:tr w:rsidR="00871F69" w:rsidRPr="006A2B0F" w14:paraId="3C66292C" w14:textId="77777777" w:rsidTr="0084234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0E7" w14:textId="77777777" w:rsidR="00871F69" w:rsidRPr="006A2B0F" w:rsidRDefault="00871F69" w:rsidP="0084234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Tekuće pomoći iz državnog proračuna temeljem prijenosa EU sredstava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B6CA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516.423,00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380E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359.219,40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E4D" w14:textId="77777777" w:rsidR="00871F69" w:rsidRPr="006A2B0F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sz w:val="24"/>
                <w:szCs w:val="24"/>
                <w:lang w:val="hr-HR" w:eastAsia="ar-SA"/>
              </w:rPr>
              <w:t>69,56%</w:t>
            </w:r>
          </w:p>
        </w:tc>
      </w:tr>
      <w:tr w:rsidR="00871F69" w:rsidRPr="006A2B0F" w14:paraId="181A2E64" w14:textId="77777777" w:rsidTr="0084234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7B9" w14:textId="77777777" w:rsidR="00871F69" w:rsidRPr="006A2B0F" w:rsidRDefault="00871F69" w:rsidP="008423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UKUPNO: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CC6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552.678,00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763A" w14:textId="77777777" w:rsidR="00871F69" w:rsidRPr="006A2B0F" w:rsidRDefault="00871F69" w:rsidP="00842341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6A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  <w:t>423.352,82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827" w14:textId="77777777" w:rsidR="00871F69" w:rsidRPr="006A2B0F" w:rsidRDefault="00871F69" w:rsidP="0084234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14:paraId="70F8DF77" w14:textId="77777777" w:rsidR="001666DB" w:rsidRDefault="001666DB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3D7D494" w14:textId="216D162F" w:rsidR="00871F69" w:rsidRPr="006A2B0F" w:rsidRDefault="00871F69" w:rsidP="0087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Prihodi temeljem pomoći od institucija i tijela EU ostvareni su po projektima „</w:t>
      </w:r>
      <w:r w:rsidRPr="006A2B0F">
        <w:rPr>
          <w:rFonts w:ascii="Times New Roman" w:eastAsia="Calibri" w:hAnsi="Times New Roman" w:cs="Times New Roman"/>
          <w:sz w:val="24"/>
          <w:szCs w:val="24"/>
        </w:rPr>
        <w:t>ATM FOR SME'S - pristup mikrofinanciranju za malo i srednje poduzetništvo“ i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Europe Direct Koprivničko-križevačke županije, dok su prihodi temeljem pomoći iz državnog proračuna temeljem prijenosa EU sredstava ostvareni po projektima „</w:t>
      </w:r>
      <w:r w:rsidRPr="006A2B0F">
        <w:rPr>
          <w:rFonts w:ascii="Times New Roman" w:eastAsia="Calibri" w:hAnsi="Times New Roman" w:cs="Times New Roman"/>
          <w:sz w:val="24"/>
          <w:szCs w:val="24"/>
        </w:rPr>
        <w:t xml:space="preserve">B Light - suradnja malih i srednjih poduzeća u pograničnom području“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i „UZ PORU PO POTPORU“.</w:t>
      </w:r>
    </w:p>
    <w:p w14:paraId="2A02EEAF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E117E" w14:textId="503E57A1" w:rsidR="00871F69" w:rsidRPr="006A2B0F" w:rsidRDefault="009965F7" w:rsidP="00871F69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6A2B0F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3.2.</w:t>
      </w:r>
      <w:r w:rsidR="000B44DF" w:rsidRPr="006A2B0F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6</w:t>
      </w:r>
      <w:r w:rsidR="00871F69" w:rsidRPr="006A2B0F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. ZAKLJUČAK</w:t>
      </w:r>
    </w:p>
    <w:p w14:paraId="6E121903" w14:textId="77777777" w:rsidR="00871F69" w:rsidRPr="006A2B0F" w:rsidRDefault="00871F69" w:rsidP="00871F6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47568D3D" w14:textId="4373E55E" w:rsidR="00871F69" w:rsidRPr="007D18E2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Tijekom 2023. godine u okviru područja rada koje se odnosi na strateško planiranje i regionalni razvoj Razvojna agencija PORA KKŽ je kao regionalni koordinator koordinirala pripremu i pripremila Izvješće o provedbi Plana razvoja KKŽ za razdoblje 2021. do 2027. godine za 2022. godinu. Izradila je Godišnje izvješće o provedbi provedbenog programa Koprivničko-križevačke županije za razdoblje 2021. do 2025. godine za 2022. godinu te je pružala stručnu pomoć i koordinirala izmjene i/ili dopune provedbenih programa jedinica lokalne samouprave. Aktivno je uključena u proces izvještavanja o realizaciji Razvojnog sporazuma za sjever Hrvatske za </w:t>
      </w:r>
      <w:r w:rsidR="004910DB">
        <w:rPr>
          <w:rFonts w:ascii="Times New Roman" w:hAnsi="Times New Roman" w:cs="Times New Roman"/>
          <w:sz w:val="24"/>
          <w:szCs w:val="24"/>
        </w:rPr>
        <w:t>KKŽ</w:t>
      </w:r>
      <w:r w:rsidRPr="006A2B0F">
        <w:rPr>
          <w:rFonts w:ascii="Times New Roman" w:hAnsi="Times New Roman" w:cs="Times New Roman"/>
          <w:sz w:val="24"/>
          <w:szCs w:val="24"/>
        </w:rPr>
        <w:t xml:space="preserve"> te je prema MRRFEU podnijela 4 tromjesečna izvješća o njegovoj provedbi. Kao regionalni koordinator član je Partnerskog vijeća za izradu Strategije manjeg urbanog područja Koprivnica za financijsko razdoblje 2021.-2027. godine te je bila uključena u izradu iste, a posebice kroz pružanje stručne pomoći tijekom pripreme 8 projektnih </w:t>
      </w:r>
      <w:r w:rsidRPr="007D18E2">
        <w:rPr>
          <w:rFonts w:ascii="Times New Roman" w:hAnsi="Times New Roman" w:cs="Times New Roman"/>
          <w:sz w:val="24"/>
          <w:szCs w:val="24"/>
        </w:rPr>
        <w:t>prijedloga za bazu projekata navedene strategije za 4 jedinice lokalne samouprave</w:t>
      </w:r>
      <w:r w:rsidR="00B94538" w:rsidRPr="007D18E2">
        <w:rPr>
          <w:rFonts w:ascii="Times New Roman" w:hAnsi="Times New Roman" w:cs="Times New Roman"/>
          <w:sz w:val="24"/>
          <w:szCs w:val="24"/>
        </w:rPr>
        <w:t>.</w:t>
      </w:r>
    </w:p>
    <w:p w14:paraId="50841B6A" w14:textId="2B3D2249" w:rsidR="00871F69" w:rsidRPr="006A2B0F" w:rsidRDefault="004A32B3" w:rsidP="00871F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E2">
        <w:rPr>
          <w:rFonts w:ascii="Times New Roman" w:hAnsi="Times New Roman" w:cs="Times New Roman"/>
          <w:sz w:val="24"/>
          <w:szCs w:val="24"/>
        </w:rPr>
        <w:t xml:space="preserve">Dobra suradnja s JLS-ima očitovala se kroz </w:t>
      </w:r>
      <w:r w:rsidRPr="006A2B0F">
        <w:rPr>
          <w:rFonts w:ascii="Times New Roman" w:hAnsi="Times New Roman" w:cs="Times New Roman"/>
          <w:sz w:val="24"/>
          <w:szCs w:val="24"/>
        </w:rPr>
        <w:t>p</w:t>
      </w:r>
      <w:r w:rsidR="00871F69" w:rsidRPr="006A2B0F">
        <w:rPr>
          <w:rFonts w:ascii="Times New Roman" w:hAnsi="Times New Roman" w:cs="Times New Roman"/>
          <w:sz w:val="24"/>
          <w:szCs w:val="24"/>
        </w:rPr>
        <w:t>odršk</w:t>
      </w:r>
      <w:r w:rsidRPr="006A2B0F">
        <w:rPr>
          <w:rFonts w:ascii="Times New Roman" w:hAnsi="Times New Roman" w:cs="Times New Roman"/>
          <w:sz w:val="24"/>
          <w:szCs w:val="24"/>
        </w:rPr>
        <w:t>u</w:t>
      </w:r>
      <w:r w:rsidR="00871F69" w:rsidRPr="006A2B0F">
        <w:rPr>
          <w:rFonts w:ascii="Times New Roman" w:hAnsi="Times New Roman" w:cs="Times New Roman"/>
          <w:sz w:val="24"/>
          <w:szCs w:val="24"/>
        </w:rPr>
        <w:t xml:space="preserve"> djelovanju jedinica lokalne samouprave vezano za regionalni razvoj </w:t>
      </w:r>
      <w:r w:rsidRPr="006A2B0F">
        <w:rPr>
          <w:rFonts w:ascii="Times New Roman" w:hAnsi="Times New Roman" w:cs="Times New Roman"/>
          <w:sz w:val="24"/>
          <w:szCs w:val="24"/>
        </w:rPr>
        <w:t xml:space="preserve">što uključuje informiranje i pružanje stručne pomoći </w:t>
      </w:r>
      <w:r w:rsidR="00871F69" w:rsidRPr="006A2B0F">
        <w:rPr>
          <w:rFonts w:ascii="Times New Roman" w:hAnsi="Times New Roman" w:cs="Times New Roman"/>
          <w:sz w:val="24"/>
          <w:szCs w:val="24"/>
        </w:rPr>
        <w:t xml:space="preserve">u pripremi i </w:t>
      </w:r>
      <w:r w:rsidR="00871F69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>provedbi projekata</w:t>
      </w:r>
      <w:r w:rsidR="00B94538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>, te ažuriranje Baze projekata Plana razvoja KKŽ za razdoblje 2021.-2027.</w:t>
      </w:r>
      <w:r w:rsidR="00871F69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AAC680" w14:textId="486AEEA0" w:rsidR="00B94538" w:rsidRPr="006A2B0F" w:rsidRDefault="00871F69" w:rsidP="00871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B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 području poticanja poduzetništva </w:t>
      </w:r>
      <w:r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>Razvojna agencija PORA KKŽ nastavila je s aktivnostima informiranja poduzetnika te s p</w:t>
      </w:r>
      <w:r w:rsidR="00B94538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>romidžbom</w:t>
      </w:r>
      <w:r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Plana za industrijsku tranziciju </w:t>
      </w:r>
      <w:r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Sjeverne Hrvatske i mapiranja regionalnih dionika u </w:t>
      </w:r>
      <w:r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regionalne lance vrijednosti </w:t>
      </w:r>
      <w:r w:rsidR="007D18E2"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jeverne Hrvatske. </w:t>
      </w:r>
      <w:r w:rsidR="00B94538"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Koordinirala je </w:t>
      </w:r>
      <w:r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>prikup</w:t>
      </w:r>
      <w:r w:rsidR="00B94538"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>ljanje</w:t>
      </w:r>
      <w:r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informacij</w:t>
      </w:r>
      <w:r w:rsidR="00B94538"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</w:t>
      </w:r>
      <w:r w:rsidR="00B94538"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7D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</w:t>
      </w:r>
      <w:r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društvene izazove koji će predstavljati temelj za prijavu poduzetnika na natječaje u </w:t>
      </w:r>
      <w:r w:rsidRPr="007D18E2">
        <w:rPr>
          <w:rFonts w:ascii="Times New Roman" w:hAnsi="Times New Roman" w:cs="Times New Roman"/>
          <w:sz w:val="24"/>
          <w:szCs w:val="24"/>
        </w:rPr>
        <w:t>okviru Plana</w:t>
      </w:r>
      <w:r w:rsidR="007D18E2" w:rsidRPr="007D18E2">
        <w:rPr>
          <w:rFonts w:ascii="Times New Roman" w:hAnsi="Times New Roman" w:cs="Times New Roman"/>
          <w:sz w:val="24"/>
          <w:szCs w:val="24"/>
        </w:rPr>
        <w:t xml:space="preserve"> za</w:t>
      </w:r>
      <w:r w:rsidRPr="007D18E2">
        <w:rPr>
          <w:rFonts w:ascii="Times New Roman" w:hAnsi="Times New Roman" w:cs="Times New Roman"/>
          <w:sz w:val="24"/>
          <w:szCs w:val="24"/>
        </w:rPr>
        <w:t xml:space="preserve"> industrijsk</w:t>
      </w:r>
      <w:r w:rsidR="007D18E2" w:rsidRPr="007D18E2">
        <w:rPr>
          <w:rFonts w:ascii="Times New Roman" w:hAnsi="Times New Roman" w:cs="Times New Roman"/>
          <w:sz w:val="24"/>
          <w:szCs w:val="24"/>
        </w:rPr>
        <w:t>u</w:t>
      </w:r>
      <w:r w:rsidRPr="007D18E2">
        <w:rPr>
          <w:rFonts w:ascii="Times New Roman" w:hAnsi="Times New Roman" w:cs="Times New Roman"/>
          <w:sz w:val="24"/>
          <w:szCs w:val="24"/>
        </w:rPr>
        <w:t xml:space="preserve"> tranzicij</w:t>
      </w:r>
      <w:r w:rsidR="007D18E2" w:rsidRPr="007D18E2">
        <w:rPr>
          <w:rFonts w:ascii="Times New Roman" w:hAnsi="Times New Roman" w:cs="Times New Roman"/>
          <w:sz w:val="24"/>
          <w:szCs w:val="24"/>
        </w:rPr>
        <w:t xml:space="preserve">u </w:t>
      </w:r>
      <w:r w:rsidRPr="007D18E2">
        <w:rPr>
          <w:rFonts w:ascii="Times New Roman" w:hAnsi="Times New Roman" w:cs="Times New Roman"/>
          <w:sz w:val="24"/>
          <w:szCs w:val="24"/>
        </w:rPr>
        <w:t xml:space="preserve">Sjeverne Hrvatske. </w:t>
      </w:r>
      <w:r w:rsidRPr="007D18E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Razvojna agencija PORA KKŽ u suradn</w:t>
      </w:r>
      <w:r w:rsidRPr="006A2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ji s </w:t>
      </w:r>
      <w:r w:rsidR="00491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KKŽ</w:t>
      </w:r>
      <w:r w:rsidRPr="006A2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sudjelovala je i u pripremi iskaza interesa za mogućnost stjecanja oznake „Regionalne inovacijske doline“. U okviru</w:t>
      </w:r>
      <w:r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jačanja pozitivne investicijske klime i privlačenja potencijalnih investitora u suradnji je s</w:t>
      </w:r>
      <w:r w:rsidR="00B94538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KKŽ i </w:t>
      </w:r>
      <w:r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JLS-ima </w:t>
      </w:r>
      <w:r w:rsidR="00B94538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>u kontinuitetu provodila aktivnosti s ciljem pružanja aktivne podrške ulagačima</w:t>
      </w:r>
      <w:r w:rsidR="00807BF1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promidžbi poslovnih zona</w:t>
      </w:r>
      <w:r w:rsidR="00B94538"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>, a u</w:t>
      </w:r>
      <w:r w:rsidRPr="006A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ključena je i u stručnu Radnu skupinu za izradu nacrta Nacionalnog plana za poticanje ulaganja za razdoblje 2024. do 2030. godine i Akcijskog plana za provedbu Nacionalnog plana za poticanje ulaganja za razdoblje od 2024. do 2026. godine. </w:t>
      </w:r>
    </w:p>
    <w:p w14:paraId="4244A96B" w14:textId="49415EB5" w:rsidR="00871F69" w:rsidRPr="006A2B0F" w:rsidRDefault="00871F69" w:rsidP="00871F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2B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Kao nositelj projekta odnosno projektni partner, Razvojna agencija PORA KKŽ tijekom 2023. godine pripremila je ukupno 8 projekata vrijednih 10 milijuna eura za natječaje iz programa </w:t>
      </w:r>
      <w:r w:rsidRPr="006A2B0F">
        <w:rPr>
          <w:rFonts w:ascii="Times New Roman" w:hAnsi="Times New Roman"/>
          <w:bCs/>
          <w:sz w:val="24"/>
          <w:szCs w:val="24"/>
        </w:rPr>
        <w:t>Interreg Europe, Interreg Central Europe te Interreg IPA ADRION, dok je u provedbi tijekom 2023. godine bilo 5 projekata ukupne vrijednosti</w:t>
      </w:r>
      <w:r w:rsidR="00814AF7" w:rsidRPr="006A2B0F">
        <w:rPr>
          <w:rFonts w:ascii="Times New Roman" w:hAnsi="Times New Roman"/>
          <w:bCs/>
          <w:sz w:val="24"/>
          <w:szCs w:val="24"/>
        </w:rPr>
        <w:t xml:space="preserve"> gotovo</w:t>
      </w:r>
      <w:r w:rsidRPr="006A2B0F">
        <w:rPr>
          <w:rFonts w:ascii="Times New Roman" w:hAnsi="Times New Roman"/>
          <w:bCs/>
          <w:sz w:val="24"/>
          <w:szCs w:val="24"/>
        </w:rPr>
        <w:t xml:space="preserve"> 5 milijuna eura.</w:t>
      </w:r>
    </w:p>
    <w:p w14:paraId="0F0DB537" w14:textId="28E19A4F" w:rsidR="00871F69" w:rsidRPr="007D18E2" w:rsidRDefault="00871F69" w:rsidP="00871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8E2">
        <w:rPr>
          <w:rFonts w:ascii="Times New Roman" w:hAnsi="Times New Roman"/>
          <w:bCs/>
          <w:sz w:val="24"/>
          <w:szCs w:val="24"/>
        </w:rPr>
        <w:t>Od projekata u provedbi svakako je važno istaknuti projekte</w:t>
      </w:r>
      <w:r w:rsidR="007D18E2" w:rsidRPr="007D18E2">
        <w:rPr>
          <w:rFonts w:ascii="Times New Roman" w:hAnsi="Times New Roman"/>
          <w:bCs/>
          <w:sz w:val="24"/>
          <w:szCs w:val="24"/>
        </w:rPr>
        <w:t xml:space="preserve"> </w:t>
      </w:r>
      <w:r w:rsidR="00807BF1" w:rsidRPr="007D18E2">
        <w:rPr>
          <w:rFonts w:ascii="Times New Roman" w:hAnsi="Times New Roman"/>
          <w:bCs/>
          <w:sz w:val="24"/>
          <w:szCs w:val="24"/>
        </w:rPr>
        <w:t>„UZ PORU PO POTPORU“</w:t>
      </w:r>
      <w:r w:rsidRPr="007D18E2">
        <w:rPr>
          <w:rFonts w:ascii="Times New Roman" w:hAnsi="Times New Roman"/>
          <w:bCs/>
          <w:sz w:val="24"/>
          <w:szCs w:val="24"/>
        </w:rPr>
        <w:t xml:space="preserve"> </w:t>
      </w:r>
      <w:r w:rsidR="007D18E2" w:rsidRPr="007D18E2">
        <w:rPr>
          <w:rFonts w:ascii="Times New Roman" w:hAnsi="Times New Roman"/>
          <w:bCs/>
          <w:sz w:val="24"/>
          <w:szCs w:val="24"/>
        </w:rPr>
        <w:t>„</w:t>
      </w:r>
      <w:r w:rsidRPr="007D18E2">
        <w:rPr>
          <w:rFonts w:ascii="Times New Roman" w:hAnsi="Times New Roman"/>
          <w:bCs/>
          <w:sz w:val="24"/>
          <w:szCs w:val="24"/>
        </w:rPr>
        <w:t xml:space="preserve">TOURBO - Poticanje tranzicije mikro, malih i srednjih poduzetnika u turizmu zelenom i digitalnom transformacijom” i „EUROPE DIRECT CENTAR KOPRIVNIČKO-KRIŽEVAČKE ŽUPANIJE“. </w:t>
      </w:r>
    </w:p>
    <w:p w14:paraId="1BEDA74B" w14:textId="6F19BC89" w:rsidR="00871F69" w:rsidRPr="006A2B0F" w:rsidRDefault="00871F69" w:rsidP="00871F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U okviru projekta „UZ PORU PO POTPORU“ čija je provedba završila s 31. prosinca 2023. godine Razvojna agencija PORA KKŽ aktivno je nastavila s pružanjem stručne pomoći javnopravnim tijelima u pripremi i provedbi projekata sufinanciranih iz ESI fondova. Tijekom 2023. godine pružila je stručnu pomoć u pripremi </w:t>
      </w:r>
      <w:r w:rsidRPr="006A2B0F">
        <w:rPr>
          <w:rFonts w:ascii="Times New Roman" w:hAnsi="Times New Roman"/>
          <w:bCs/>
          <w:sz w:val="24"/>
          <w:szCs w:val="24"/>
        </w:rPr>
        <w:t xml:space="preserve">za sveukupno 28 projekata ukupne vrijednosti 29 milijuna </w:t>
      </w:r>
      <w:r w:rsidRPr="006A2B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eura od čega se najveći dio odnosi na </w:t>
      </w:r>
      <w:r w:rsidRPr="006A2B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projekte financirane iz Poziva iz Nacionalnog plana oporavka i otpornosti 2021.-2026. te na </w:t>
      </w:r>
      <w:r w:rsidRPr="006A2B0F">
        <w:rPr>
          <w:rFonts w:ascii="Times New Roman" w:hAnsi="Times New Roman"/>
          <w:bCs/>
          <w:sz w:val="24"/>
          <w:szCs w:val="24"/>
        </w:rPr>
        <w:t xml:space="preserve"> Pozive iz Europskog socijalnog fonda +. Stručna pomoć u pripremi pružena je za sveukupno 13 korisnika i to jedinica lokalne samouprave, </w:t>
      </w:r>
      <w:r w:rsidR="007D18E2">
        <w:rPr>
          <w:rFonts w:ascii="Times New Roman" w:hAnsi="Times New Roman"/>
          <w:bCs/>
          <w:sz w:val="24"/>
          <w:szCs w:val="24"/>
        </w:rPr>
        <w:t>KKŽ</w:t>
      </w:r>
      <w:r w:rsidRPr="006A2B0F">
        <w:rPr>
          <w:rFonts w:ascii="Times New Roman" w:hAnsi="Times New Roman"/>
          <w:bCs/>
          <w:sz w:val="24"/>
          <w:szCs w:val="24"/>
        </w:rPr>
        <w:t xml:space="preserve"> te ostala javnopravna tijela s područja </w:t>
      </w:r>
      <w:r w:rsidR="007D18E2">
        <w:rPr>
          <w:rFonts w:ascii="Times New Roman" w:hAnsi="Times New Roman"/>
          <w:bCs/>
          <w:sz w:val="24"/>
          <w:szCs w:val="24"/>
        </w:rPr>
        <w:t>KKŽ</w:t>
      </w:r>
      <w:r w:rsidRPr="006A2B0F">
        <w:rPr>
          <w:rFonts w:ascii="Times New Roman" w:hAnsi="Times New Roman"/>
          <w:bCs/>
          <w:sz w:val="24"/>
          <w:szCs w:val="24"/>
        </w:rPr>
        <w:t xml:space="preserve">. Također, Razvojna agencija PORA KKŽ pružala je stručnu pomoć za jedinice lokalne samouprave, </w:t>
      </w:r>
      <w:r w:rsidR="007D18E2">
        <w:rPr>
          <w:rFonts w:ascii="Times New Roman" w:hAnsi="Times New Roman"/>
          <w:bCs/>
          <w:sz w:val="24"/>
          <w:szCs w:val="24"/>
        </w:rPr>
        <w:t>KKŽ</w:t>
      </w:r>
      <w:r w:rsidRPr="006A2B0F">
        <w:rPr>
          <w:rFonts w:ascii="Times New Roman" w:hAnsi="Times New Roman"/>
          <w:bCs/>
          <w:sz w:val="24"/>
          <w:szCs w:val="24"/>
        </w:rPr>
        <w:t xml:space="preserve"> te ostala javnopravna tijela s područja </w:t>
      </w:r>
      <w:r w:rsidR="007D18E2">
        <w:rPr>
          <w:rFonts w:ascii="Times New Roman" w:hAnsi="Times New Roman"/>
          <w:bCs/>
          <w:sz w:val="24"/>
          <w:szCs w:val="24"/>
        </w:rPr>
        <w:t>KKŽ</w:t>
      </w:r>
      <w:r w:rsidRPr="006A2B0F">
        <w:rPr>
          <w:rFonts w:ascii="Times New Roman" w:hAnsi="Times New Roman"/>
          <w:bCs/>
          <w:sz w:val="24"/>
          <w:szCs w:val="24"/>
        </w:rPr>
        <w:t xml:space="preserve"> u provedbi 42 projekta ukupne vrijednosti veće od </w:t>
      </w:r>
      <w:r w:rsidRPr="006A2B0F">
        <w:rPr>
          <w:rFonts w:ascii="Times New Roman" w:hAnsi="Times New Roman" w:cs="Times New Roman"/>
          <w:bCs/>
          <w:sz w:val="24"/>
          <w:szCs w:val="24"/>
        </w:rPr>
        <w:t xml:space="preserve">17,5 milijuna eura, od čega se najveći dio </w:t>
      </w:r>
      <w:r w:rsidRPr="006A2B0F">
        <w:rPr>
          <w:rFonts w:ascii="Times New Roman" w:hAnsi="Times New Roman"/>
          <w:bCs/>
          <w:sz w:val="24"/>
          <w:szCs w:val="24"/>
        </w:rPr>
        <w:t xml:space="preserve">odnosi na projekte iz područja obrazovanja i unapređenja socijalnih usluga u </w:t>
      </w:r>
      <w:r w:rsidR="007D18E2">
        <w:rPr>
          <w:rFonts w:ascii="Times New Roman" w:hAnsi="Times New Roman"/>
          <w:bCs/>
          <w:sz w:val="24"/>
          <w:szCs w:val="24"/>
        </w:rPr>
        <w:t>KKŽ</w:t>
      </w:r>
      <w:r w:rsidRPr="006A2B0F">
        <w:rPr>
          <w:rFonts w:ascii="Times New Roman" w:hAnsi="Times New Roman"/>
          <w:bCs/>
          <w:sz w:val="24"/>
          <w:szCs w:val="24"/>
        </w:rPr>
        <w:t xml:space="preserve">. </w:t>
      </w:r>
    </w:p>
    <w:p w14:paraId="0737B773" w14:textId="77777777" w:rsidR="00871F69" w:rsidRPr="006A2B0F" w:rsidRDefault="00871F69" w:rsidP="00871F69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3D2E8C5" w14:textId="6D56AE1E" w:rsidR="0086443A" w:rsidRPr="006A2B0F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Članak 4.</w:t>
      </w:r>
    </w:p>
    <w:p w14:paraId="5D38A468" w14:textId="3886DA9D" w:rsidR="0086443A" w:rsidRPr="006A2B0F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10817A0" w14:textId="4DF3D611" w:rsidR="0086443A" w:rsidRPr="006A2B0F" w:rsidRDefault="00A400D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Izvješće o radu i izvršenju Financijskog plana </w:t>
      </w:r>
      <w:r w:rsidR="0086443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PORE Regionalne razvojne agencije Koprivničko-križevačke županije za 202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6443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86443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proslijedit će se nadležnom Upravnom odjelu za gospodarstvo, komunalne djelatnosti i poljoprivredu Koprivničko-križevačke županije</w:t>
      </w:r>
      <w:r w:rsidR="006A7C4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 na suglasnost Županu Koprivničko-križevačke županije i Županijskoj skupštini.</w:t>
      </w:r>
    </w:p>
    <w:p w14:paraId="0E7F39E8" w14:textId="12367103" w:rsidR="0086443A" w:rsidRPr="006A2B0F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612E571" w14:textId="1E512713" w:rsidR="006A7C4B" w:rsidRPr="006A2B0F" w:rsidRDefault="006A7C4B" w:rsidP="006A7C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Predlaže se Upravnom vijeću PORE Regionalne razvojne agencije Koprivničko-križevačke županije donošenje </w:t>
      </w:r>
      <w:r w:rsidR="00A400D1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Izvješć</w:t>
      </w:r>
      <w:r w:rsidR="003D654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A400D1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radu i izvršenju Financijskog plana PORE Regionalne razvojne agencije Koprivničko-križevačke županije za 202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A400D1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</w:t>
      </w:r>
      <w:r w:rsidR="003D654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6A2B0F">
        <w:rPr>
          <w:rFonts w:ascii="Times New Roman" w:hAnsi="Times New Roman"/>
          <w:sz w:val="24"/>
          <w:szCs w:val="24"/>
        </w:rPr>
        <w:t>.</w:t>
      </w:r>
    </w:p>
    <w:p w14:paraId="4F725129" w14:textId="77777777" w:rsidR="00482BF1" w:rsidRDefault="00482BF1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B8FBCD" w14:textId="77777777" w:rsidR="00E4074E" w:rsidRDefault="00E4074E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847E09C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80DACC3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8156C66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C20BB6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71E199C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1BC3B24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10A2EC6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037C746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51CCD3" w14:textId="77777777" w:rsidR="00423482" w:rsidRDefault="0042348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6333E29" w14:textId="77777777" w:rsidR="001A7108" w:rsidRPr="006A2B0F" w:rsidRDefault="001A7108" w:rsidP="001A7108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B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3.3. ZAVRŠNE ODREDBE</w:t>
      </w:r>
    </w:p>
    <w:p w14:paraId="73AE0643" w14:textId="77777777" w:rsidR="001A7108" w:rsidRPr="006A2B0F" w:rsidRDefault="001A7108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4BA87F" w14:textId="77777777" w:rsidR="001A7108" w:rsidRPr="006A2B0F" w:rsidRDefault="001A7108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1DD3885" w14:textId="1D07CDE3" w:rsidR="0086443A" w:rsidRPr="006A2B0F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Članak 5.</w:t>
      </w:r>
    </w:p>
    <w:p w14:paraId="5ECE2BD8" w14:textId="77777777" w:rsidR="0086443A" w:rsidRPr="006A2B0F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674DC08" w14:textId="2AFC016F" w:rsidR="0086443A" w:rsidRPr="006A2B0F" w:rsidRDefault="00A400D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Izvješće o radu i izvršenju Financijskog plana PORE Regionalne razvojne agencije Koprivničko-križevačke županije za 202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</w:t>
      </w:r>
      <w:r w:rsidR="003D654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86443A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stupa na snagu danom objave na oglasnoj ploči PORE Regionalne razvojne agencije Koprivničko-križevačke županije.</w:t>
      </w:r>
    </w:p>
    <w:p w14:paraId="1CCBFC04" w14:textId="6E65D313" w:rsidR="0086443A" w:rsidRPr="006A2B0F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5F7EAE" w14:textId="118BBFF1" w:rsidR="00123831" w:rsidRPr="006A2B0F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94F3527" w14:textId="77777777" w:rsidR="00123831" w:rsidRPr="006A2B0F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88FE4EB" w14:textId="77777777" w:rsidR="0086443A" w:rsidRPr="006A2B0F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UPRAVNO VIJEĆE </w:t>
      </w:r>
    </w:p>
    <w:p w14:paraId="234DDF71" w14:textId="77777777" w:rsidR="0086443A" w:rsidRPr="006A2B0F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PORE REGIONALNE RAZVOJNE AGENCIJE </w:t>
      </w:r>
    </w:p>
    <w:p w14:paraId="7D81C43E" w14:textId="77777777" w:rsidR="0086443A" w:rsidRPr="006A2B0F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KOPRIVNIČKO-KRIŽEVAČKE ŽUPANIJE</w:t>
      </w:r>
    </w:p>
    <w:p w14:paraId="765288B0" w14:textId="2EB6E047" w:rsidR="0086443A" w:rsidRPr="006A2B0F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8C6C5BB" w14:textId="77777777" w:rsidR="00123831" w:rsidRPr="006A2B0F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D846273" w14:textId="77777777" w:rsidR="0086443A" w:rsidRPr="006A2B0F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C19011" w14:textId="38B7A8F1" w:rsidR="0086443A" w:rsidRPr="006A2B0F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KLASA: 021-06/2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-01/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PREDSJEDNIK UPRAVNOG VIJEĆA:</w:t>
      </w:r>
    </w:p>
    <w:p w14:paraId="6EC0E884" w14:textId="7E9FC69C" w:rsidR="0086443A" w:rsidRPr="006A2B0F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URBROJ: 2137-114-2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2E1455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Darko Masnec</w:t>
      </w:r>
    </w:p>
    <w:p w14:paraId="13A46537" w14:textId="24CBB4AA" w:rsidR="006A7C4B" w:rsidRPr="006A2B0F" w:rsidRDefault="006A7C4B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8F1F129" w14:textId="64BD71E2" w:rsidR="006A7C4B" w:rsidRDefault="006A7C4B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0B8F6E" w14:textId="77777777" w:rsidR="00E4074E" w:rsidRDefault="00E4074E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0115B3" w14:textId="77777777" w:rsidR="00E4074E" w:rsidRDefault="00E4074E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47BFA61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9D17896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DD44CBB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980242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F182DD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3E83FD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026BDBC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B209DE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D340C8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465C65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A2B150F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34A1DE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387169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0A4FF5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4E89EF0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AFA984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81F4D31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059491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5AEC11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00C740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846485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27C219" w14:textId="77777777" w:rsidR="00423482" w:rsidRDefault="00423482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7C9852" w14:textId="77777777" w:rsidR="00E4074E" w:rsidRDefault="00E4074E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23BF8E3" w14:textId="77777777" w:rsidR="00E4074E" w:rsidRDefault="00E4074E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7DAB9" w14:textId="77777777" w:rsidR="00E4074E" w:rsidRDefault="00E4074E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875BF12" w14:textId="77777777" w:rsidR="00E4074E" w:rsidRPr="006A2B0F" w:rsidRDefault="00E4074E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2C6C996" w14:textId="3C9C6AC7" w:rsidR="006A7C4B" w:rsidRPr="006A2B0F" w:rsidRDefault="006A7C4B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503F98" w14:textId="77777777" w:rsidR="0086443A" w:rsidRPr="006A2B0F" w:rsidRDefault="0086443A" w:rsidP="0086443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</w:pPr>
      <w:r w:rsidRPr="006A2B0F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lastRenderedPageBreak/>
        <w:t>PORA REGIONALNA RAZVOJNA AGENCIJA</w:t>
      </w:r>
    </w:p>
    <w:p w14:paraId="12A47A65" w14:textId="77777777" w:rsidR="0086443A" w:rsidRPr="006A2B0F" w:rsidRDefault="0086443A" w:rsidP="0086443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</w:pPr>
      <w:r w:rsidRPr="006A2B0F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>KOPRIVNIČKO-KRIŽEVAČKE ŽUPANIJE</w:t>
      </w:r>
    </w:p>
    <w:p w14:paraId="4AF835CE" w14:textId="77777777" w:rsidR="0086443A" w:rsidRPr="006A2B0F" w:rsidRDefault="0086443A" w:rsidP="0086443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</w:rPr>
      </w:pPr>
    </w:p>
    <w:p w14:paraId="2F34F3C2" w14:textId="54804FF3" w:rsidR="0086443A" w:rsidRPr="006A2B0F" w:rsidRDefault="0086443A" w:rsidP="0086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</w:t>
      </w:r>
      <w:r w:rsidR="006A7C4B" w:rsidRPr="006A2B0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o </w:t>
      </w:r>
      <w:r w:rsidR="00A400D1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Izvješće o radu i izvršenju Financijskog plana PORE Regionalne razvojne agencije Koprivničko-križevačke županije za 202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A400D1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</w:t>
      </w:r>
      <w:r w:rsidR="003D6543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6A7C4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objavljen</w:t>
      </w:r>
      <w:r w:rsidR="006A7C4B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 na oglasnoj ploči PORE Regionalne razvojne agencije Koprivničko-križevačke županije dana ___________ 202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godine, te je stupi</w:t>
      </w:r>
      <w:r w:rsidR="003F4581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l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o na snagu dana ___________ 202</w:t>
      </w:r>
      <w:r w:rsidR="00A426E4"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. godine.</w:t>
      </w:r>
    </w:p>
    <w:p w14:paraId="1D781DBD" w14:textId="77777777" w:rsidR="0086443A" w:rsidRPr="006A2B0F" w:rsidRDefault="0086443A" w:rsidP="0086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19A158" w14:textId="77777777" w:rsidR="0086443A" w:rsidRPr="006A2B0F" w:rsidRDefault="0086443A" w:rsidP="0086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4F83F7" w14:textId="77777777" w:rsidR="0086443A" w:rsidRPr="006A2B0F" w:rsidRDefault="0086443A" w:rsidP="0086443A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>RAVNATELJICA:</w:t>
      </w:r>
    </w:p>
    <w:p w14:paraId="338649C9" w14:textId="77777777" w:rsidR="0086443A" w:rsidRPr="006A2B0F" w:rsidRDefault="0086443A" w:rsidP="0086443A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Melita Birčić</w:t>
      </w:r>
    </w:p>
    <w:p w14:paraId="41C9808E" w14:textId="77777777" w:rsidR="0086443A" w:rsidRPr="006A2B0F" w:rsidRDefault="0086443A" w:rsidP="0086443A">
      <w:pPr>
        <w:spacing w:after="0" w:line="240" w:lineRule="auto"/>
        <w:ind w:left="5812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14:paraId="6A55ADF0" w14:textId="77777777" w:rsidR="0086443A" w:rsidRPr="006A2B0F" w:rsidRDefault="0086443A" w:rsidP="0086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FEAEAB" w14:textId="77777777" w:rsidR="0086443A" w:rsidRPr="006A2B0F" w:rsidRDefault="0086443A" w:rsidP="0086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FD833" w14:textId="77777777" w:rsidR="0086443A" w:rsidRPr="006A2B0F" w:rsidRDefault="0086443A" w:rsidP="0086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16036D" w14:textId="77777777" w:rsidR="00083352" w:rsidRPr="006A2B0F" w:rsidRDefault="00083352" w:rsidP="00864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352" w:rsidRPr="006A2B0F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4038" w14:textId="77777777" w:rsidR="008A77AD" w:rsidRDefault="008A77AD" w:rsidP="00657E9A">
      <w:pPr>
        <w:spacing w:after="0" w:line="240" w:lineRule="auto"/>
      </w:pPr>
      <w:r>
        <w:separator/>
      </w:r>
    </w:p>
  </w:endnote>
  <w:endnote w:type="continuationSeparator" w:id="0">
    <w:p w14:paraId="4939828F" w14:textId="77777777" w:rsidR="008A77AD" w:rsidRDefault="008A77AD" w:rsidP="006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026B" w14:textId="21E25813" w:rsidR="00C7372F" w:rsidRDefault="00C7372F">
    <w:pPr>
      <w:pStyle w:val="Footer"/>
      <w:jc w:val="right"/>
    </w:pPr>
  </w:p>
  <w:p w14:paraId="25840E86" w14:textId="77777777" w:rsidR="00C7372F" w:rsidRDefault="00C7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05113"/>
      <w:docPartObj>
        <w:docPartGallery w:val="Page Numbers (Bottom of Page)"/>
        <w:docPartUnique/>
      </w:docPartObj>
    </w:sdtPr>
    <w:sdtEndPr/>
    <w:sdtContent>
      <w:p w14:paraId="0B3B53E7" w14:textId="73363C95" w:rsidR="00217359" w:rsidRDefault="002173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77D72" w14:textId="77777777" w:rsidR="00217359" w:rsidRDefault="00217359" w:rsidP="002173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6A49" w14:textId="77777777" w:rsidR="008A77AD" w:rsidRDefault="008A77AD" w:rsidP="00657E9A">
      <w:pPr>
        <w:spacing w:after="0" w:line="240" w:lineRule="auto"/>
      </w:pPr>
      <w:r>
        <w:separator/>
      </w:r>
    </w:p>
  </w:footnote>
  <w:footnote w:type="continuationSeparator" w:id="0">
    <w:p w14:paraId="14249B91" w14:textId="77777777" w:rsidR="008A77AD" w:rsidRDefault="008A77AD" w:rsidP="0065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260"/>
    <w:multiLevelType w:val="hybridMultilevel"/>
    <w:tmpl w:val="1CDED80A"/>
    <w:lvl w:ilvl="0" w:tplc="F50674E0">
      <w:start w:val="36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62C26"/>
    <w:multiLevelType w:val="multilevel"/>
    <w:tmpl w:val="B56A4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474BC"/>
    <w:multiLevelType w:val="multilevel"/>
    <w:tmpl w:val="4DB483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133E30"/>
    <w:multiLevelType w:val="multilevel"/>
    <w:tmpl w:val="E534C32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1751AC"/>
    <w:multiLevelType w:val="hybridMultilevel"/>
    <w:tmpl w:val="4BD6BEB6"/>
    <w:lvl w:ilvl="0" w:tplc="4ED23B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7796797">
    <w:abstractNumId w:val="4"/>
  </w:num>
  <w:num w:numId="2" w16cid:durableId="1169639490">
    <w:abstractNumId w:val="0"/>
  </w:num>
  <w:num w:numId="3" w16cid:durableId="988359073">
    <w:abstractNumId w:val="2"/>
  </w:num>
  <w:num w:numId="4" w16cid:durableId="545681938">
    <w:abstractNumId w:val="1"/>
  </w:num>
  <w:num w:numId="5" w16cid:durableId="30015987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8"/>
    <w:rsid w:val="00002C4B"/>
    <w:rsid w:val="00004AD3"/>
    <w:rsid w:val="000071E8"/>
    <w:rsid w:val="00010794"/>
    <w:rsid w:val="00010B77"/>
    <w:rsid w:val="0001485E"/>
    <w:rsid w:val="00014D1F"/>
    <w:rsid w:val="00017D36"/>
    <w:rsid w:val="000228AA"/>
    <w:rsid w:val="0002622A"/>
    <w:rsid w:val="000275EF"/>
    <w:rsid w:val="00031722"/>
    <w:rsid w:val="000325D2"/>
    <w:rsid w:val="0003558F"/>
    <w:rsid w:val="00041252"/>
    <w:rsid w:val="00042258"/>
    <w:rsid w:val="00046F89"/>
    <w:rsid w:val="00050A3A"/>
    <w:rsid w:val="00052648"/>
    <w:rsid w:val="0005407A"/>
    <w:rsid w:val="00054E83"/>
    <w:rsid w:val="00060486"/>
    <w:rsid w:val="000746E1"/>
    <w:rsid w:val="00083352"/>
    <w:rsid w:val="000960D8"/>
    <w:rsid w:val="000A1195"/>
    <w:rsid w:val="000B2404"/>
    <w:rsid w:val="000B44DF"/>
    <w:rsid w:val="000B7007"/>
    <w:rsid w:val="000C08A8"/>
    <w:rsid w:val="000C7C07"/>
    <w:rsid w:val="000D3ADB"/>
    <w:rsid w:val="000D51B5"/>
    <w:rsid w:val="000D6AFD"/>
    <w:rsid w:val="000E1CC3"/>
    <w:rsid w:val="000E201C"/>
    <w:rsid w:val="000E51CB"/>
    <w:rsid w:val="000E6FA9"/>
    <w:rsid w:val="000F768E"/>
    <w:rsid w:val="000F76A8"/>
    <w:rsid w:val="000F7AD4"/>
    <w:rsid w:val="001108F8"/>
    <w:rsid w:val="001121B2"/>
    <w:rsid w:val="00123831"/>
    <w:rsid w:val="0012680A"/>
    <w:rsid w:val="00130CEB"/>
    <w:rsid w:val="00131019"/>
    <w:rsid w:val="001322D9"/>
    <w:rsid w:val="00135B63"/>
    <w:rsid w:val="00160CE6"/>
    <w:rsid w:val="00165F17"/>
    <w:rsid w:val="001666DB"/>
    <w:rsid w:val="0016737E"/>
    <w:rsid w:val="0017662A"/>
    <w:rsid w:val="00192049"/>
    <w:rsid w:val="001A22D1"/>
    <w:rsid w:val="001A7108"/>
    <w:rsid w:val="001C185D"/>
    <w:rsid w:val="001C2A4E"/>
    <w:rsid w:val="001C319D"/>
    <w:rsid w:val="001C7F5E"/>
    <w:rsid w:val="001D5521"/>
    <w:rsid w:val="001D7B42"/>
    <w:rsid w:val="001E3659"/>
    <w:rsid w:val="001E56AC"/>
    <w:rsid w:val="001E6411"/>
    <w:rsid w:val="001E7AD8"/>
    <w:rsid w:val="001E7B75"/>
    <w:rsid w:val="001F0EFF"/>
    <w:rsid w:val="001F19F3"/>
    <w:rsid w:val="0020163C"/>
    <w:rsid w:val="00201BF2"/>
    <w:rsid w:val="00217359"/>
    <w:rsid w:val="002217BF"/>
    <w:rsid w:val="002252DA"/>
    <w:rsid w:val="002412C4"/>
    <w:rsid w:val="00241F8B"/>
    <w:rsid w:val="00256358"/>
    <w:rsid w:val="002808BC"/>
    <w:rsid w:val="0028724F"/>
    <w:rsid w:val="00290C71"/>
    <w:rsid w:val="00292C90"/>
    <w:rsid w:val="002A3840"/>
    <w:rsid w:val="002A626E"/>
    <w:rsid w:val="002B14A1"/>
    <w:rsid w:val="002B6B9B"/>
    <w:rsid w:val="002C3147"/>
    <w:rsid w:val="002D6606"/>
    <w:rsid w:val="002E1455"/>
    <w:rsid w:val="003025E8"/>
    <w:rsid w:val="003063BC"/>
    <w:rsid w:val="00315587"/>
    <w:rsid w:val="003156D3"/>
    <w:rsid w:val="00316612"/>
    <w:rsid w:val="00324F76"/>
    <w:rsid w:val="00326688"/>
    <w:rsid w:val="00334C09"/>
    <w:rsid w:val="00335E45"/>
    <w:rsid w:val="00336FCE"/>
    <w:rsid w:val="00337D8D"/>
    <w:rsid w:val="00346EAB"/>
    <w:rsid w:val="0035115C"/>
    <w:rsid w:val="003559A7"/>
    <w:rsid w:val="00371AA1"/>
    <w:rsid w:val="00377162"/>
    <w:rsid w:val="003912D1"/>
    <w:rsid w:val="003A2100"/>
    <w:rsid w:val="003A6530"/>
    <w:rsid w:val="003B30E0"/>
    <w:rsid w:val="003B445C"/>
    <w:rsid w:val="003C04A7"/>
    <w:rsid w:val="003C0FF8"/>
    <w:rsid w:val="003C1394"/>
    <w:rsid w:val="003C35F5"/>
    <w:rsid w:val="003C4134"/>
    <w:rsid w:val="003C4F3A"/>
    <w:rsid w:val="003D6543"/>
    <w:rsid w:val="003D6662"/>
    <w:rsid w:val="003E456B"/>
    <w:rsid w:val="003F35D8"/>
    <w:rsid w:val="003F4581"/>
    <w:rsid w:val="003F52F9"/>
    <w:rsid w:val="003F74B9"/>
    <w:rsid w:val="003F7825"/>
    <w:rsid w:val="004027B2"/>
    <w:rsid w:val="00403A61"/>
    <w:rsid w:val="004103BA"/>
    <w:rsid w:val="00420394"/>
    <w:rsid w:val="00423482"/>
    <w:rsid w:val="00423F2B"/>
    <w:rsid w:val="004371E2"/>
    <w:rsid w:val="00437F2C"/>
    <w:rsid w:val="0044143C"/>
    <w:rsid w:val="004529BC"/>
    <w:rsid w:val="00454805"/>
    <w:rsid w:val="00481A64"/>
    <w:rsid w:val="00482BF1"/>
    <w:rsid w:val="00490B79"/>
    <w:rsid w:val="004910DB"/>
    <w:rsid w:val="004A32B3"/>
    <w:rsid w:val="004A37E1"/>
    <w:rsid w:val="004A45DE"/>
    <w:rsid w:val="004B2ECE"/>
    <w:rsid w:val="004B6CC8"/>
    <w:rsid w:val="004C115D"/>
    <w:rsid w:val="004C54E1"/>
    <w:rsid w:val="004D6F6C"/>
    <w:rsid w:val="004E172F"/>
    <w:rsid w:val="004E3603"/>
    <w:rsid w:val="004E3AD4"/>
    <w:rsid w:val="004E3DE1"/>
    <w:rsid w:val="004E63D8"/>
    <w:rsid w:val="004F23CE"/>
    <w:rsid w:val="004F48CA"/>
    <w:rsid w:val="00503795"/>
    <w:rsid w:val="00511E9B"/>
    <w:rsid w:val="005140B9"/>
    <w:rsid w:val="005275FE"/>
    <w:rsid w:val="00535679"/>
    <w:rsid w:val="00536D16"/>
    <w:rsid w:val="005479D1"/>
    <w:rsid w:val="00554E7D"/>
    <w:rsid w:val="005569AB"/>
    <w:rsid w:val="00570975"/>
    <w:rsid w:val="0057355A"/>
    <w:rsid w:val="005737CC"/>
    <w:rsid w:val="0057701B"/>
    <w:rsid w:val="00577892"/>
    <w:rsid w:val="00581053"/>
    <w:rsid w:val="00582347"/>
    <w:rsid w:val="005847D0"/>
    <w:rsid w:val="005959E7"/>
    <w:rsid w:val="005A3EE2"/>
    <w:rsid w:val="005A4012"/>
    <w:rsid w:val="005A7570"/>
    <w:rsid w:val="005A7CE4"/>
    <w:rsid w:val="005B5370"/>
    <w:rsid w:val="005C55CE"/>
    <w:rsid w:val="005C7875"/>
    <w:rsid w:val="005D3CF5"/>
    <w:rsid w:val="005D4290"/>
    <w:rsid w:val="005E7926"/>
    <w:rsid w:val="005F01DF"/>
    <w:rsid w:val="005F13F4"/>
    <w:rsid w:val="005F43CC"/>
    <w:rsid w:val="005F4501"/>
    <w:rsid w:val="005F5943"/>
    <w:rsid w:val="00600530"/>
    <w:rsid w:val="006072CB"/>
    <w:rsid w:val="00613EC4"/>
    <w:rsid w:val="00621F79"/>
    <w:rsid w:val="00657E9A"/>
    <w:rsid w:val="00663B8C"/>
    <w:rsid w:val="00663F61"/>
    <w:rsid w:val="006711E9"/>
    <w:rsid w:val="00673D06"/>
    <w:rsid w:val="00677182"/>
    <w:rsid w:val="006804F2"/>
    <w:rsid w:val="00690E73"/>
    <w:rsid w:val="00691984"/>
    <w:rsid w:val="00693891"/>
    <w:rsid w:val="00695678"/>
    <w:rsid w:val="006A2B0F"/>
    <w:rsid w:val="006A516A"/>
    <w:rsid w:val="006A7C4B"/>
    <w:rsid w:val="006B6248"/>
    <w:rsid w:val="006C1A4D"/>
    <w:rsid w:val="006E0C5F"/>
    <w:rsid w:val="006E3FEB"/>
    <w:rsid w:val="006E6634"/>
    <w:rsid w:val="0070278B"/>
    <w:rsid w:val="00711C45"/>
    <w:rsid w:val="00712CA0"/>
    <w:rsid w:val="00716064"/>
    <w:rsid w:val="00717A85"/>
    <w:rsid w:val="0072343E"/>
    <w:rsid w:val="00733168"/>
    <w:rsid w:val="00745BC2"/>
    <w:rsid w:val="00746AAD"/>
    <w:rsid w:val="00755CCF"/>
    <w:rsid w:val="0076384B"/>
    <w:rsid w:val="00773F58"/>
    <w:rsid w:val="00776AB3"/>
    <w:rsid w:val="0078543A"/>
    <w:rsid w:val="007857E2"/>
    <w:rsid w:val="00785A12"/>
    <w:rsid w:val="00787EC9"/>
    <w:rsid w:val="00793FF5"/>
    <w:rsid w:val="007A0AFA"/>
    <w:rsid w:val="007A2451"/>
    <w:rsid w:val="007A6494"/>
    <w:rsid w:val="007B1B7A"/>
    <w:rsid w:val="007B4E7A"/>
    <w:rsid w:val="007B6C6D"/>
    <w:rsid w:val="007B73F7"/>
    <w:rsid w:val="007C02DB"/>
    <w:rsid w:val="007D07F3"/>
    <w:rsid w:val="007D1369"/>
    <w:rsid w:val="007D18E2"/>
    <w:rsid w:val="007D74D2"/>
    <w:rsid w:val="007D7D07"/>
    <w:rsid w:val="007E4BBC"/>
    <w:rsid w:val="00803102"/>
    <w:rsid w:val="00806C1F"/>
    <w:rsid w:val="00807BF1"/>
    <w:rsid w:val="00814AF7"/>
    <w:rsid w:val="00815DF8"/>
    <w:rsid w:val="0083056E"/>
    <w:rsid w:val="00830B58"/>
    <w:rsid w:val="00832B28"/>
    <w:rsid w:val="0083672C"/>
    <w:rsid w:val="00841B0C"/>
    <w:rsid w:val="0084254D"/>
    <w:rsid w:val="00842C85"/>
    <w:rsid w:val="00846690"/>
    <w:rsid w:val="00851D5F"/>
    <w:rsid w:val="0085533D"/>
    <w:rsid w:val="0086357A"/>
    <w:rsid w:val="0086443A"/>
    <w:rsid w:val="00864BC8"/>
    <w:rsid w:val="00871E52"/>
    <w:rsid w:val="00871F69"/>
    <w:rsid w:val="0087523D"/>
    <w:rsid w:val="008779BD"/>
    <w:rsid w:val="00890CBB"/>
    <w:rsid w:val="008A2078"/>
    <w:rsid w:val="008A77AD"/>
    <w:rsid w:val="008B12FC"/>
    <w:rsid w:val="008B5691"/>
    <w:rsid w:val="008B6115"/>
    <w:rsid w:val="008D095A"/>
    <w:rsid w:val="008D5E20"/>
    <w:rsid w:val="008F7EDA"/>
    <w:rsid w:val="009005FF"/>
    <w:rsid w:val="009010F0"/>
    <w:rsid w:val="0090377A"/>
    <w:rsid w:val="00920C9B"/>
    <w:rsid w:val="00931663"/>
    <w:rsid w:val="00932A47"/>
    <w:rsid w:val="009350B5"/>
    <w:rsid w:val="00936458"/>
    <w:rsid w:val="00942995"/>
    <w:rsid w:val="00954F79"/>
    <w:rsid w:val="00957A67"/>
    <w:rsid w:val="00973B8A"/>
    <w:rsid w:val="009809C3"/>
    <w:rsid w:val="00981BD9"/>
    <w:rsid w:val="0098448A"/>
    <w:rsid w:val="00984CBA"/>
    <w:rsid w:val="009868DF"/>
    <w:rsid w:val="009965F7"/>
    <w:rsid w:val="009A0099"/>
    <w:rsid w:val="009A2482"/>
    <w:rsid w:val="009A7886"/>
    <w:rsid w:val="009C0BEA"/>
    <w:rsid w:val="009C156B"/>
    <w:rsid w:val="009C35EC"/>
    <w:rsid w:val="009C52D4"/>
    <w:rsid w:val="009C6966"/>
    <w:rsid w:val="009D32B7"/>
    <w:rsid w:val="009D4225"/>
    <w:rsid w:val="009D565D"/>
    <w:rsid w:val="009D5AE8"/>
    <w:rsid w:val="009E1B51"/>
    <w:rsid w:val="009E1EEC"/>
    <w:rsid w:val="009E278A"/>
    <w:rsid w:val="009F0582"/>
    <w:rsid w:val="009F5E01"/>
    <w:rsid w:val="009F78F7"/>
    <w:rsid w:val="00A06FDF"/>
    <w:rsid w:val="00A07686"/>
    <w:rsid w:val="00A135F7"/>
    <w:rsid w:val="00A35C77"/>
    <w:rsid w:val="00A36731"/>
    <w:rsid w:val="00A36E34"/>
    <w:rsid w:val="00A400D1"/>
    <w:rsid w:val="00A40350"/>
    <w:rsid w:val="00A418C9"/>
    <w:rsid w:val="00A426E4"/>
    <w:rsid w:val="00A44EF3"/>
    <w:rsid w:val="00A5590E"/>
    <w:rsid w:val="00A573E4"/>
    <w:rsid w:val="00A60EBE"/>
    <w:rsid w:val="00A65813"/>
    <w:rsid w:val="00A677DE"/>
    <w:rsid w:val="00A902B7"/>
    <w:rsid w:val="00AA0F72"/>
    <w:rsid w:val="00AC0554"/>
    <w:rsid w:val="00AC1E66"/>
    <w:rsid w:val="00AC42B8"/>
    <w:rsid w:val="00AC6A4A"/>
    <w:rsid w:val="00AD118F"/>
    <w:rsid w:val="00AE3547"/>
    <w:rsid w:val="00AE366E"/>
    <w:rsid w:val="00AE619C"/>
    <w:rsid w:val="00AE6751"/>
    <w:rsid w:val="00AF48C0"/>
    <w:rsid w:val="00AF5503"/>
    <w:rsid w:val="00AF7891"/>
    <w:rsid w:val="00AF7C8A"/>
    <w:rsid w:val="00B132F5"/>
    <w:rsid w:val="00B23113"/>
    <w:rsid w:val="00B26190"/>
    <w:rsid w:val="00B30F56"/>
    <w:rsid w:val="00B34A29"/>
    <w:rsid w:val="00B42433"/>
    <w:rsid w:val="00B47FAC"/>
    <w:rsid w:val="00B52B43"/>
    <w:rsid w:val="00B61506"/>
    <w:rsid w:val="00B7297D"/>
    <w:rsid w:val="00B8585F"/>
    <w:rsid w:val="00B8755E"/>
    <w:rsid w:val="00B921DB"/>
    <w:rsid w:val="00B92D8B"/>
    <w:rsid w:val="00B94538"/>
    <w:rsid w:val="00BA025B"/>
    <w:rsid w:val="00BB1BD2"/>
    <w:rsid w:val="00BB4F79"/>
    <w:rsid w:val="00BB6175"/>
    <w:rsid w:val="00BC7A38"/>
    <w:rsid w:val="00BD66D1"/>
    <w:rsid w:val="00BE1686"/>
    <w:rsid w:val="00BE3291"/>
    <w:rsid w:val="00BE360A"/>
    <w:rsid w:val="00BE464D"/>
    <w:rsid w:val="00C0063B"/>
    <w:rsid w:val="00C14676"/>
    <w:rsid w:val="00C16653"/>
    <w:rsid w:val="00C20317"/>
    <w:rsid w:val="00C320DF"/>
    <w:rsid w:val="00C321C0"/>
    <w:rsid w:val="00C32630"/>
    <w:rsid w:val="00C35BCB"/>
    <w:rsid w:val="00C36971"/>
    <w:rsid w:val="00C50A43"/>
    <w:rsid w:val="00C60430"/>
    <w:rsid w:val="00C604EA"/>
    <w:rsid w:val="00C7372F"/>
    <w:rsid w:val="00C7471E"/>
    <w:rsid w:val="00C75F4B"/>
    <w:rsid w:val="00C81F04"/>
    <w:rsid w:val="00C83F61"/>
    <w:rsid w:val="00CB4E30"/>
    <w:rsid w:val="00CB6A80"/>
    <w:rsid w:val="00CB70CD"/>
    <w:rsid w:val="00CC368E"/>
    <w:rsid w:val="00CD188B"/>
    <w:rsid w:val="00CD755B"/>
    <w:rsid w:val="00CD7BC5"/>
    <w:rsid w:val="00CE6340"/>
    <w:rsid w:val="00CF1E51"/>
    <w:rsid w:val="00CF3CFA"/>
    <w:rsid w:val="00CF6A00"/>
    <w:rsid w:val="00CF6FA1"/>
    <w:rsid w:val="00CF74D1"/>
    <w:rsid w:val="00D0229E"/>
    <w:rsid w:val="00D02AA6"/>
    <w:rsid w:val="00D03252"/>
    <w:rsid w:val="00D04613"/>
    <w:rsid w:val="00D0652A"/>
    <w:rsid w:val="00D1625D"/>
    <w:rsid w:val="00D17130"/>
    <w:rsid w:val="00D32B92"/>
    <w:rsid w:val="00D32D41"/>
    <w:rsid w:val="00D37182"/>
    <w:rsid w:val="00D42AAE"/>
    <w:rsid w:val="00D43B01"/>
    <w:rsid w:val="00D5163C"/>
    <w:rsid w:val="00D640B9"/>
    <w:rsid w:val="00D67C68"/>
    <w:rsid w:val="00D723C5"/>
    <w:rsid w:val="00D82CED"/>
    <w:rsid w:val="00D84FE0"/>
    <w:rsid w:val="00D87A57"/>
    <w:rsid w:val="00D940C8"/>
    <w:rsid w:val="00D96FEE"/>
    <w:rsid w:val="00DA4A3C"/>
    <w:rsid w:val="00DC45F7"/>
    <w:rsid w:val="00DD1301"/>
    <w:rsid w:val="00DD2DF1"/>
    <w:rsid w:val="00DE4573"/>
    <w:rsid w:val="00DE4A70"/>
    <w:rsid w:val="00DE4DFA"/>
    <w:rsid w:val="00DE7B6B"/>
    <w:rsid w:val="00DF14C6"/>
    <w:rsid w:val="00DF659E"/>
    <w:rsid w:val="00DF735F"/>
    <w:rsid w:val="00E00012"/>
    <w:rsid w:val="00E04F25"/>
    <w:rsid w:val="00E05D73"/>
    <w:rsid w:val="00E12282"/>
    <w:rsid w:val="00E13B02"/>
    <w:rsid w:val="00E13B60"/>
    <w:rsid w:val="00E13BFE"/>
    <w:rsid w:val="00E1530E"/>
    <w:rsid w:val="00E21B4C"/>
    <w:rsid w:val="00E4074E"/>
    <w:rsid w:val="00E50501"/>
    <w:rsid w:val="00E736A0"/>
    <w:rsid w:val="00E752A2"/>
    <w:rsid w:val="00E75D8F"/>
    <w:rsid w:val="00E91D7B"/>
    <w:rsid w:val="00E95E15"/>
    <w:rsid w:val="00E971C1"/>
    <w:rsid w:val="00EB4813"/>
    <w:rsid w:val="00EB5DCD"/>
    <w:rsid w:val="00EC39C8"/>
    <w:rsid w:val="00EC3D91"/>
    <w:rsid w:val="00EE120A"/>
    <w:rsid w:val="00EE153E"/>
    <w:rsid w:val="00EE7CBD"/>
    <w:rsid w:val="00EF280A"/>
    <w:rsid w:val="00F052AE"/>
    <w:rsid w:val="00F11203"/>
    <w:rsid w:val="00F1127B"/>
    <w:rsid w:val="00F15459"/>
    <w:rsid w:val="00F30373"/>
    <w:rsid w:val="00F3505E"/>
    <w:rsid w:val="00F44FF9"/>
    <w:rsid w:val="00F450C3"/>
    <w:rsid w:val="00F50597"/>
    <w:rsid w:val="00F55E45"/>
    <w:rsid w:val="00F61DB2"/>
    <w:rsid w:val="00F64E2A"/>
    <w:rsid w:val="00F65159"/>
    <w:rsid w:val="00F66CBA"/>
    <w:rsid w:val="00F70C34"/>
    <w:rsid w:val="00F8461D"/>
    <w:rsid w:val="00F91696"/>
    <w:rsid w:val="00F94861"/>
    <w:rsid w:val="00F96A29"/>
    <w:rsid w:val="00FA0799"/>
    <w:rsid w:val="00FA7433"/>
    <w:rsid w:val="00FB1601"/>
    <w:rsid w:val="00FB6D92"/>
    <w:rsid w:val="00FC14F7"/>
    <w:rsid w:val="00FC7395"/>
    <w:rsid w:val="00FC7742"/>
    <w:rsid w:val="00FD2E38"/>
    <w:rsid w:val="00FD5826"/>
    <w:rsid w:val="00FE4622"/>
    <w:rsid w:val="00FE6C14"/>
    <w:rsid w:val="00FF30E4"/>
    <w:rsid w:val="00FF5D5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DBEE0"/>
  <w15:chartTrackingRefBased/>
  <w15:docId w15:val="{62E6D0AA-5348-4CF6-A9FE-5A7B028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91"/>
  </w:style>
  <w:style w:type="paragraph" w:styleId="Heading1">
    <w:name w:val="heading 1"/>
    <w:basedOn w:val="Normal"/>
    <w:next w:val="Normal"/>
    <w:link w:val="Heading1Char"/>
    <w:uiPriority w:val="9"/>
    <w:qFormat/>
    <w:rsid w:val="00511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9A"/>
  </w:style>
  <w:style w:type="paragraph" w:styleId="Footer">
    <w:name w:val="footer"/>
    <w:basedOn w:val="Normal"/>
    <w:link w:val="FooterChar"/>
    <w:uiPriority w:val="99"/>
    <w:unhideWhenUsed/>
    <w:rsid w:val="0065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9A"/>
  </w:style>
  <w:style w:type="character" w:customStyle="1" w:styleId="Heading2Char">
    <w:name w:val="Heading 2 Char"/>
    <w:basedOn w:val="DefaultParagraphFont"/>
    <w:link w:val="Heading2"/>
    <w:uiPriority w:val="9"/>
    <w:rsid w:val="00017D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17D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017D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1E51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CF1E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1E5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CF1E5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1E5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0794"/>
    <w:rPr>
      <w:b/>
      <w:bCs/>
    </w:rPr>
  </w:style>
  <w:style w:type="paragraph" w:styleId="NormalWeb">
    <w:name w:val="Normal (Web)"/>
    <w:basedOn w:val="Normal"/>
    <w:uiPriority w:val="99"/>
    <w:unhideWhenUsed/>
    <w:rsid w:val="0001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q4iawc">
    <w:name w:val="q4iawc"/>
    <w:basedOn w:val="DefaultParagraphFont"/>
    <w:rsid w:val="00010794"/>
  </w:style>
  <w:style w:type="paragraph" w:styleId="NoSpacing">
    <w:name w:val="No Spacing"/>
    <w:link w:val="NoSpacingChar"/>
    <w:uiPriority w:val="1"/>
    <w:qFormat/>
    <w:rsid w:val="00787E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87EC9"/>
  </w:style>
  <w:style w:type="character" w:customStyle="1" w:styleId="markedcontent">
    <w:name w:val="markedcontent"/>
    <w:basedOn w:val="DefaultParagraphFont"/>
    <w:rsid w:val="00FA0799"/>
  </w:style>
  <w:style w:type="paragraph" w:styleId="BodyText">
    <w:name w:val="Body Text"/>
    <w:basedOn w:val="Normal"/>
    <w:link w:val="BodyTextChar"/>
    <w:uiPriority w:val="99"/>
    <w:semiHidden/>
    <w:unhideWhenUsed/>
    <w:rsid w:val="00803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102"/>
  </w:style>
  <w:style w:type="table" w:customStyle="1" w:styleId="TableGrid0">
    <w:name w:val="TableGrid"/>
    <w:rsid w:val="0080310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">
    <w:name w:val="Bez popisa1"/>
    <w:next w:val="NoList"/>
    <w:uiPriority w:val="99"/>
    <w:semiHidden/>
    <w:unhideWhenUsed/>
    <w:rsid w:val="00803102"/>
  </w:style>
  <w:style w:type="numbering" w:customStyle="1" w:styleId="Bezpopisa2">
    <w:name w:val="Bez popisa2"/>
    <w:next w:val="NoList"/>
    <w:uiPriority w:val="99"/>
    <w:semiHidden/>
    <w:unhideWhenUsed/>
    <w:rsid w:val="00803102"/>
  </w:style>
  <w:style w:type="character" w:styleId="FollowedHyperlink">
    <w:name w:val="FollowedHyperlink"/>
    <w:basedOn w:val="DefaultParagraphFont"/>
    <w:uiPriority w:val="99"/>
    <w:semiHidden/>
    <w:unhideWhenUsed/>
    <w:rsid w:val="0084254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84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F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871F69"/>
    <w:rPr>
      <w:i/>
      <w:iCs/>
      <w:color w:val="404040" w:themeColor="text1" w:themeTint="BF"/>
    </w:rPr>
  </w:style>
  <w:style w:type="character" w:customStyle="1" w:styleId="rynqvb">
    <w:name w:val="rynqvb"/>
    <w:basedOn w:val="DefaultParagraphFont"/>
    <w:rsid w:val="00871F69"/>
  </w:style>
  <w:style w:type="character" w:customStyle="1" w:styleId="hwtze">
    <w:name w:val="hwtze"/>
    <w:basedOn w:val="DefaultParagraphFont"/>
    <w:rsid w:val="0087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Usporedba</a:t>
            </a:r>
            <a:r>
              <a:rPr lang="hr-HR" baseline="0"/>
              <a:t> prihoda i rashoda za 2022. i 2023. godinu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List1!$B$2:$C$2</c:f>
              <c:numCache>
                <c:formatCode>#,##0.00</c:formatCode>
                <c:ptCount val="2"/>
                <c:pt idx="0">
                  <c:v>639666.03</c:v>
                </c:pt>
                <c:pt idx="1">
                  <c:v>719312.84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43-4714-87F8-80D4E51FB021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List1!$B$3:$C$3</c:f>
              <c:numCache>
                <c:formatCode>#,##0.00</c:formatCode>
                <c:ptCount val="2"/>
                <c:pt idx="0">
                  <c:v>591644.71</c:v>
                </c:pt>
                <c:pt idx="1">
                  <c:v>720666.94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43-4714-87F8-80D4E51FB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2481807"/>
        <c:axId val="1272482223"/>
      </c:barChart>
      <c:catAx>
        <c:axId val="1272481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482223"/>
        <c:crosses val="autoZero"/>
        <c:auto val="1"/>
        <c:lblAlgn val="ctr"/>
        <c:lblOffset val="100"/>
        <c:noMultiLvlLbl val="0"/>
      </c:catAx>
      <c:valAx>
        <c:axId val="1272482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481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52904182551484"/>
          <c:y val="0.19914588609177541"/>
          <c:w val="0.78736514980938221"/>
          <c:h val="0.717957180343740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B9B-42AE-B733-A5F39C5641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B9B-42AE-B733-A5F39C5641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B9B-42AE-B733-A5F39C5641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B9B-42AE-B733-A5F39C5641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B9B-42AE-B733-A5F39C5641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B9B-42AE-B733-A5F39C56419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FB9B-42AE-B733-A5F39C564199}"/>
              </c:ext>
            </c:extLst>
          </c:dPt>
          <c:dLbls>
            <c:dLbl>
              <c:idx val="0"/>
              <c:layout>
                <c:manualLayout>
                  <c:x val="3.319501901159766E-2"/>
                  <c:y val="-1.5491008332210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9B-42AE-B733-A5F39C564199}"/>
                </c:ext>
              </c:extLst>
            </c:dLbl>
            <c:dLbl>
              <c:idx val="1"/>
              <c:layout>
                <c:manualLayout>
                  <c:x val="-1.8589210646494689E-2"/>
                  <c:y val="2.65560142837900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9B-42AE-B733-A5F39C564199}"/>
                </c:ext>
              </c:extLst>
            </c:dLbl>
            <c:dLbl>
              <c:idx val="2"/>
              <c:layout>
                <c:manualLayout>
                  <c:x val="-0.21244812167422503"/>
                  <c:y val="6.6390035709475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9B-42AE-B733-A5F39C564199}"/>
                </c:ext>
              </c:extLst>
            </c:dLbl>
            <c:dLbl>
              <c:idx val="3"/>
              <c:layout>
                <c:manualLayout>
                  <c:x val="-0.13809127908824625"/>
                  <c:y val="-5.08990273772642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9B-42AE-B733-A5F39C564199}"/>
                </c:ext>
              </c:extLst>
            </c:dLbl>
            <c:dLbl>
              <c:idx val="4"/>
              <c:layout>
                <c:manualLayout>
                  <c:x val="1.1950206844175158E-2"/>
                  <c:y val="-5.08990273772642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9B-42AE-B733-A5F39C564199}"/>
                </c:ext>
              </c:extLst>
            </c:dLbl>
            <c:dLbl>
              <c:idx val="5"/>
              <c:layout>
                <c:manualLayout>
                  <c:x val="7.1701241065050852E-2"/>
                  <c:y val="-4.64730249966325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9B-42AE-B733-A5F39C564199}"/>
                </c:ext>
              </c:extLst>
            </c:dLbl>
            <c:dLbl>
              <c:idx val="6"/>
              <c:layout>
                <c:manualLayout>
                  <c:x val="0.21908712547654446"/>
                  <c:y val="-3.98340214256850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B9B-42AE-B733-A5F39C5641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List1!$A$34:$A$40</c:f>
              <c:strCache>
                <c:ptCount val="6"/>
                <c:pt idx="0">
                  <c:v>Proračun Koprivničko-križevačke županije-  redovno poslovanje i sufinanciranje EU projekata
33,10%</c:v>
                </c:pt>
                <c:pt idx="1">
                  <c:v>Prihodi iz državnog poračuna temeljem prijenosa EU sredstava
58,86%</c:v>
                </c:pt>
                <c:pt idx="4">
                  <c:v>Proračun Koprivničko-križevačke županije-  predfinanciranje EU projekata  8,00%</c:v>
                </c:pt>
                <c:pt idx="5">
                  <c:v>Prihodi po posebnim propisima 0,04%</c:v>
                </c:pt>
              </c:strCache>
            </c:strRef>
          </c:cat>
          <c:val>
            <c:numRef>
              <c:f>List1!$B$34:$B$40</c:f>
              <c:numCache>
                <c:formatCode>#,##0.00</c:formatCode>
                <c:ptCount val="7"/>
                <c:pt idx="0">
                  <c:v>238135.03</c:v>
                </c:pt>
                <c:pt idx="1">
                  <c:v>423352.82</c:v>
                </c:pt>
                <c:pt idx="4">
                  <c:v>57527.87</c:v>
                </c:pt>
                <c:pt idx="5">
                  <c:v>296.89999999999998</c:v>
                </c:pt>
                <c:pt idx="6">
                  <c:v>2.66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B9B-42AE-B733-A5F39C5641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245240633130466E-2"/>
          <c:y val="0.21229832624633715"/>
          <c:w val="0.842976767642036"/>
          <c:h val="0.761065647361765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DD3-42C8-AC34-2CA2693468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DD3-42C8-AC34-2CA2693468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DD3-42C8-AC34-2CA2693468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DD3-42C8-AC34-2CA2693468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D3-42C8-AC34-2CA2693468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DD3-42C8-AC34-2CA2693468A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DD3-42C8-AC34-2CA2693468AA}"/>
              </c:ext>
            </c:extLst>
          </c:dPt>
          <c:dLbls>
            <c:dLbl>
              <c:idx val="0"/>
              <c:layout>
                <c:manualLayout>
                  <c:x val="2.6200873362445309E-2"/>
                  <c:y val="3.88161086851043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D3-42C8-AC34-2CA2693468AA}"/>
                </c:ext>
              </c:extLst>
            </c:dLbl>
            <c:dLbl>
              <c:idx val="1"/>
              <c:layout>
                <c:manualLayout>
                  <c:x val="-5.0946010329532936E-3"/>
                  <c:y val="4.49132638829662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08299589624771"/>
                      <c:h val="0.195845014396874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DD3-42C8-AC34-2CA2693468AA}"/>
                </c:ext>
              </c:extLst>
            </c:dLbl>
            <c:dLbl>
              <c:idx val="2"/>
              <c:layout>
                <c:manualLayout>
                  <c:x val="-0.1965065502183406"/>
                  <c:y val="2.426006792819019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D3-42C8-AC34-2CA2693468A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DD3-42C8-AC34-2CA2693468AA}"/>
                </c:ext>
              </c:extLst>
            </c:dLbl>
            <c:dLbl>
              <c:idx val="4"/>
              <c:layout>
                <c:manualLayout>
                  <c:x val="-7.4235807860262015E-2"/>
                  <c:y val="-4.852009166572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33333333333332"/>
                      <c:h val="7.54645154108628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DD3-42C8-AC34-2CA2693468AA}"/>
                </c:ext>
              </c:extLst>
            </c:dLbl>
            <c:dLbl>
              <c:idx val="5"/>
              <c:layout>
                <c:manualLayout>
                  <c:x val="6.7685589519650591E-2"/>
                  <c:y val="-5.21961356339326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730770553244151E-2"/>
                      <c:h val="9.52565471902763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DD3-42C8-AC34-2CA2693468AA}"/>
                </c:ext>
              </c:extLst>
            </c:dLbl>
            <c:dLbl>
              <c:idx val="6"/>
              <c:layout>
                <c:manualLayout>
                  <c:x val="0.18558955760144408"/>
                  <c:y val="4.75787423027406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234349938491375"/>
                      <c:h val="0.1706765641918517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9DD3-42C8-AC34-2CA269346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List1!$A$76:$A$82</c:f>
              <c:strCache>
                <c:ptCount val="7"/>
                <c:pt idx="0">
                  <c:v>Rashodi za zaposlene
65,96%</c:v>
                </c:pt>
                <c:pt idx="1">
                  <c:v>Materijalni rashodi
32,17%</c:v>
                </c:pt>
                <c:pt idx="6">
                  <c:v>Rashodi za nabavu nefinan. imovine 1,87%</c:v>
                </c:pt>
              </c:strCache>
            </c:strRef>
          </c:cat>
          <c:val>
            <c:numRef>
              <c:f>List1!$B$76:$B$82</c:f>
              <c:numCache>
                <c:formatCode>#,##0.00</c:formatCode>
                <c:ptCount val="7"/>
                <c:pt idx="0">
                  <c:v>475361.77</c:v>
                </c:pt>
                <c:pt idx="1">
                  <c:v>231822.47</c:v>
                </c:pt>
                <c:pt idx="6">
                  <c:v>13482.7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DD3-42C8-AC34-2CA2693468A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91277016298877E-2"/>
          <c:y val="0.16708809032615779"/>
          <c:w val="0.82698918807988508"/>
          <c:h val="0.7516262884834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5C9-4AFD-ADBE-CA9B8931F41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9-4AFD-ADBE-CA9B8931F41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9-4AFD-ADBE-CA9B8931F417}"/>
              </c:ext>
            </c:extLst>
          </c:dPt>
          <c:dLbls>
            <c:dLbl>
              <c:idx val="0"/>
              <c:layout>
                <c:manualLayout>
                  <c:x val="0"/>
                  <c:y val="-2.05761316872428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9-4AFD-ADBE-CA9B8931F417}"/>
                </c:ext>
              </c:extLst>
            </c:dLbl>
            <c:dLbl>
              <c:idx val="1"/>
              <c:layout>
                <c:manualLayout>
                  <c:x val="0"/>
                  <c:y val="0.111749002766071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4"/>
                        </a:solidFill>
                      </a:rPr>
                      <a:t>EU projekti</a:t>
                    </a:r>
                    <a:r>
                      <a:rPr lang="en-US" baseline="0">
                        <a:solidFill>
                          <a:schemeClr val="accent4"/>
                        </a:solidFill>
                      </a:rPr>
                      <a:t> - sufinanciranje Proračun KKŽ 11,87%</a:t>
                    </a:r>
                    <a:endParaRPr lang="en-US">
                      <a:solidFill>
                        <a:schemeClr val="accent4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5C9-4AFD-ADBE-CA9B8931F417}"/>
                </c:ext>
              </c:extLst>
            </c:dLbl>
            <c:dLbl>
              <c:idx val="2"/>
              <c:layout>
                <c:manualLayout>
                  <c:x val="-1.2345679012345678E-2"/>
                  <c:y val="9.14494741655235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C9-4AFD-ADBE-CA9B8931F41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List1!$A$122:$A$124</c:f>
              <c:strCache>
                <c:ptCount val="3"/>
                <c:pt idx="0">
                  <c:v>Redovna djelatnost - Proračun KKŽ
22,99%</c:v>
                </c:pt>
                <c:pt idx="1">
                  <c:v>EU projekti - sufinanciranje Proračun KKŽ i Program sufinanciranja EU  projekata
11,87%</c:v>
                </c:pt>
                <c:pt idx="2">
                  <c:v>EU projekti - bespovratna EU sredstva
65,14%</c:v>
                </c:pt>
              </c:strCache>
            </c:strRef>
          </c:cat>
          <c:val>
            <c:numRef>
              <c:f>List1!$B$122:$B$124</c:f>
              <c:numCache>
                <c:formatCode>#,##0.00</c:formatCode>
                <c:ptCount val="3"/>
                <c:pt idx="0">
                  <c:v>109269.38</c:v>
                </c:pt>
                <c:pt idx="1">
                  <c:v>56437.08</c:v>
                </c:pt>
                <c:pt idx="2">
                  <c:v>309655.31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C9-4AFD-ADBE-CA9B8931F41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558130548256721E-2"/>
          <c:y val="0.16848738123761886"/>
          <c:w val="0.79970920578514271"/>
          <c:h val="0.724490613117719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646-44C4-9183-A36A5B32824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646-44C4-9183-A36A5B32824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646-44C4-9183-A36A5B32824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646-44C4-9183-A36A5B32824E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646-44C4-9183-A36A5B32824E}"/>
              </c:ext>
            </c:extLst>
          </c:dPt>
          <c:dLbls>
            <c:dLbl>
              <c:idx val="0"/>
              <c:layout>
                <c:manualLayout>
                  <c:x val="2.0456701487310231E-2"/>
                  <c:y val="-3.56699884833715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46-44C4-9183-A36A5B32824E}"/>
                </c:ext>
              </c:extLst>
            </c:dLbl>
            <c:dLbl>
              <c:idx val="1"/>
              <c:layout>
                <c:manualLayout>
                  <c:x val="6.6901640349707582E-3"/>
                  <c:y val="-4.4121840201443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46-44C4-9183-A36A5B32824E}"/>
                </c:ext>
              </c:extLst>
            </c:dLbl>
            <c:dLbl>
              <c:idx val="2"/>
              <c:layout>
                <c:manualLayout>
                  <c:x val="-8.6767885998384926E-3"/>
                  <c:y val="2.40023934355154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46-44C4-9183-A36A5B32824E}"/>
                </c:ext>
              </c:extLst>
            </c:dLbl>
            <c:dLbl>
              <c:idx val="3"/>
              <c:layout>
                <c:manualLayout>
                  <c:x val="-6.647462884998892E-2"/>
                  <c:y val="6.21761658031088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89532601356363"/>
                      <c:h val="0.21479792746113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646-44C4-9183-A36A5B32824E}"/>
                </c:ext>
              </c:extLst>
            </c:dLbl>
            <c:dLbl>
              <c:idx val="4"/>
              <c:layout>
                <c:manualLayout>
                  <c:x val="-2.0842695290929542E-2"/>
                  <c:y val="-4.27038336526721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46-44C4-9183-A36A5B32824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List1!$A$97:$A$101</c:f>
              <c:strCache>
                <c:ptCount val="5"/>
                <c:pt idx="0">
                  <c:v>Naknade troškova zaposlenima
17,81%</c:v>
                </c:pt>
                <c:pt idx="1">
                  <c:v>Rashodi za materijal i energiju
8,82%</c:v>
                </c:pt>
                <c:pt idx="2">
                  <c:v>Rashodi za usluge
61,81%</c:v>
                </c:pt>
                <c:pt idx="3">
                  <c:v>Naknade troškova osobama izvan radnog odnosa 2,28%</c:v>
                </c:pt>
                <c:pt idx="4">
                  <c:v>Ostali nespomenuti rashodi
9,28%</c:v>
                </c:pt>
              </c:strCache>
            </c:strRef>
          </c:cat>
          <c:val>
            <c:numRef>
              <c:f>List1!$B$97:$B$101</c:f>
              <c:numCache>
                <c:formatCode>#,##0.00</c:formatCode>
                <c:ptCount val="5"/>
                <c:pt idx="0">
                  <c:v>41280.559999999998</c:v>
                </c:pt>
                <c:pt idx="1">
                  <c:v>20456.71</c:v>
                </c:pt>
                <c:pt idx="2">
                  <c:v>143281.51999999999</c:v>
                </c:pt>
                <c:pt idx="3">
                  <c:v>5299.4</c:v>
                </c:pt>
                <c:pt idx="4">
                  <c:v>21504.28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646-44C4-9183-A36A5B32824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353A-F003-471D-BE8B-ED73B58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11776</Words>
  <Characters>67126</Characters>
  <Application>Microsoft Office Word</Application>
  <DocSecurity>0</DocSecurity>
  <Lines>559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Jelak PORA KKŽ</dc:creator>
  <cp:keywords/>
  <dc:description/>
  <cp:lastModifiedBy>Maja Barac</cp:lastModifiedBy>
  <cp:revision>151</cp:revision>
  <cp:lastPrinted>2024-02-27T11:38:00Z</cp:lastPrinted>
  <dcterms:created xsi:type="dcterms:W3CDTF">2024-01-31T13:28:00Z</dcterms:created>
  <dcterms:modified xsi:type="dcterms:W3CDTF">2024-02-27T12:54:00Z</dcterms:modified>
</cp:coreProperties>
</file>